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3909" w14:textId="77777777" w:rsidR="00F71F23" w:rsidRDefault="00F71F2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F71F23" w:rsidRPr="006E0EED" w14:paraId="35F45CC9" w14:textId="77777777" w:rsidTr="00A50C58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D17D288" w14:textId="767C7913" w:rsidR="00F71F23" w:rsidRPr="006E0EED" w:rsidRDefault="0062663D" w:rsidP="00A50C5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F71F23" w:rsidRPr="006E0EED" w14:paraId="42AE04BF" w14:textId="77777777" w:rsidTr="00A50C58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A985964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1AA5161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E00E06A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F71F23" w:rsidRPr="006E0EED" w14:paraId="05984134" w14:textId="77777777" w:rsidTr="00A50C58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8DCBE" w14:textId="7E1CDA5D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Magyar nyelv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393831" w14:textId="77777777" w:rsidR="00F71F23" w:rsidRPr="006E0EED" w:rsidRDefault="00F71F23" w:rsidP="00A50C58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DA178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10.</w:t>
            </w:r>
          </w:p>
        </w:tc>
      </w:tr>
      <w:tr w:rsidR="00F71F23" w:rsidRPr="006E0EED" w14:paraId="127BAD4A" w14:textId="77777777" w:rsidTr="00A50C58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A1BBE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7162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A8122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8C572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F71F23" w:rsidRPr="006E0EED" w14:paraId="51227FF3" w14:textId="77777777" w:rsidTr="00A50C58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2DB3A190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F49D532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E84CEB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FBC788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F71F23" w:rsidRPr="006E0EED" w14:paraId="512C8D30" w14:textId="77777777" w:rsidTr="00A50C58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3937B6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BF2B886" w14:textId="32B69411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99DC1CC" w14:textId="77777777" w:rsidR="00F71F23" w:rsidRPr="006E0EED" w:rsidRDefault="00F71F23" w:rsidP="00A50C58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209622" w14:textId="214BC5C6" w:rsidR="00F71F23" w:rsidRPr="006E0EED" w:rsidRDefault="0062663D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 (</w:t>
            </w:r>
            <w:r w:rsidR="00F71F23">
              <w:rPr>
                <w:rFonts w:eastAsia="Times New Roman" w:cs="Times New Roman"/>
                <w:color w:val="000000"/>
                <w:szCs w:val="24"/>
                <w:lang w:eastAsia="hu-HU"/>
              </w:rPr>
              <w:t>gazdasági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)</w:t>
            </w:r>
          </w:p>
        </w:tc>
      </w:tr>
      <w:tr w:rsidR="00F71F23" w:rsidRPr="006E0EED" w14:paraId="02853182" w14:textId="77777777" w:rsidTr="00A50C58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531476D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DE409" w14:textId="74C2A635" w:rsidR="00F71F23" w:rsidRPr="006E0EED" w:rsidRDefault="00B60085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OFI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471F307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F71F23" w:rsidRPr="006E0EED" w14:paraId="4191874C" w14:textId="77777777" w:rsidTr="00A50C58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C8F329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548D0" w14:textId="2E0AD3A8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Magyar nyelv 10.</w:t>
            </w: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700A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</w:tr>
    </w:tbl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976"/>
        <w:gridCol w:w="3261"/>
        <w:gridCol w:w="5244"/>
        <w:gridCol w:w="2694"/>
      </w:tblGrid>
      <w:tr w:rsidR="00450174" w:rsidRPr="001865CF" w14:paraId="3903E1B9" w14:textId="77777777" w:rsidTr="009A678A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71D8865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1AA72E59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3261" w:type="dxa"/>
            <w:shd w:val="clear" w:color="auto" w:fill="A8D08D" w:themeFill="accent6" w:themeFillTint="99"/>
            <w:vAlign w:val="center"/>
          </w:tcPr>
          <w:p w14:paraId="1AA9C55B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5244" w:type="dxa"/>
            <w:shd w:val="clear" w:color="auto" w:fill="A8D08D" w:themeFill="accent6" w:themeFillTint="99"/>
            <w:vAlign w:val="center"/>
          </w:tcPr>
          <w:p w14:paraId="7E04F04C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1E83955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7EE64C9B" w14:textId="77777777" w:rsidTr="00CA0376">
        <w:trPr>
          <w:trHeight w:val="48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4F750DE" w14:textId="77777777" w:rsidR="00450174" w:rsidRPr="00CA0376" w:rsidRDefault="00CA0376" w:rsidP="004E255D">
            <w:pPr>
              <w:pStyle w:val="Listaszerbekezds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I. </w:t>
            </w:r>
            <w:r w:rsidR="004E255D">
              <w:rPr>
                <w:rFonts w:cs="Times New Roman"/>
                <w:b/>
                <w:sz w:val="20"/>
                <w:szCs w:val="20"/>
              </w:rPr>
              <w:t>Bevezetés</w:t>
            </w:r>
          </w:p>
        </w:tc>
      </w:tr>
      <w:tr w:rsidR="00450174" w:rsidRPr="001865CF" w14:paraId="671212FA" w14:textId="77777777" w:rsidTr="009A678A">
        <w:tc>
          <w:tcPr>
            <w:tcW w:w="988" w:type="dxa"/>
            <w:vAlign w:val="center"/>
          </w:tcPr>
          <w:p w14:paraId="6415CF17" w14:textId="77777777" w:rsidR="00450174" w:rsidRPr="001865CF" w:rsidRDefault="00450174" w:rsidP="00CA0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14:paraId="33B69E11" w14:textId="77777777" w:rsidR="004E255D" w:rsidRDefault="004E255D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Ismétlés</w:t>
            </w:r>
          </w:p>
          <w:p w14:paraId="7FDABD8D" w14:textId="77777777" w:rsidR="00450174" w:rsidRPr="004E255D" w:rsidRDefault="00CA0376" w:rsidP="004E255D">
            <w:pPr>
              <w:pStyle w:val="Listaszerbekezds"/>
              <w:numPr>
                <w:ilvl w:val="0"/>
                <w:numId w:val="8"/>
              </w:numPr>
              <w:ind w:left="182" w:hanging="142"/>
              <w:jc w:val="left"/>
              <w:rPr>
                <w:rFonts w:cs="Times New Roman"/>
                <w:sz w:val="20"/>
                <w:szCs w:val="20"/>
              </w:rPr>
            </w:pPr>
            <w:r w:rsidRPr="004E255D">
              <w:rPr>
                <w:rFonts w:cs="Times New Roman"/>
                <w:sz w:val="20"/>
                <w:szCs w:val="20"/>
              </w:rPr>
              <w:t>A kommunikáció</w:t>
            </w:r>
          </w:p>
          <w:p w14:paraId="05A6C017" w14:textId="77777777" w:rsidR="00CA0376" w:rsidRPr="004E255D" w:rsidRDefault="00CA0376" w:rsidP="004E255D">
            <w:pPr>
              <w:pStyle w:val="Listaszerbekezds"/>
              <w:numPr>
                <w:ilvl w:val="0"/>
                <w:numId w:val="8"/>
              </w:numPr>
              <w:ind w:left="182" w:hanging="142"/>
              <w:jc w:val="left"/>
              <w:rPr>
                <w:rFonts w:cs="Times New Roman"/>
                <w:sz w:val="20"/>
                <w:szCs w:val="20"/>
              </w:rPr>
            </w:pPr>
            <w:r w:rsidRPr="004E255D">
              <w:rPr>
                <w:rFonts w:cs="Times New Roman"/>
                <w:sz w:val="20"/>
                <w:szCs w:val="20"/>
              </w:rPr>
              <w:t>A tömegkommunikáció</w:t>
            </w:r>
          </w:p>
          <w:p w14:paraId="6923DB30" w14:textId="77777777" w:rsidR="00CA0376" w:rsidRPr="004E255D" w:rsidRDefault="00CA0376" w:rsidP="004E255D">
            <w:pPr>
              <w:pStyle w:val="Listaszerbekezds"/>
              <w:numPr>
                <w:ilvl w:val="0"/>
                <w:numId w:val="8"/>
              </w:numPr>
              <w:ind w:left="182" w:hanging="142"/>
              <w:jc w:val="left"/>
              <w:rPr>
                <w:rFonts w:cs="Times New Roman"/>
                <w:sz w:val="20"/>
                <w:szCs w:val="20"/>
              </w:rPr>
            </w:pPr>
            <w:r w:rsidRPr="004E255D">
              <w:rPr>
                <w:rFonts w:cs="Times New Roman"/>
                <w:sz w:val="20"/>
                <w:szCs w:val="20"/>
              </w:rPr>
              <w:t>A nyelvi jelek</w:t>
            </w:r>
          </w:p>
          <w:p w14:paraId="1F9CC06B" w14:textId="77777777" w:rsidR="00CA0376" w:rsidRPr="004E255D" w:rsidRDefault="00CA0376" w:rsidP="004E255D">
            <w:pPr>
              <w:pStyle w:val="Listaszerbekezds"/>
              <w:numPr>
                <w:ilvl w:val="0"/>
                <w:numId w:val="8"/>
              </w:numPr>
              <w:ind w:left="182" w:hanging="142"/>
              <w:jc w:val="left"/>
              <w:rPr>
                <w:rFonts w:cs="Times New Roman"/>
                <w:sz w:val="20"/>
                <w:szCs w:val="20"/>
              </w:rPr>
            </w:pPr>
            <w:r w:rsidRPr="004E255D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4E255D">
              <w:rPr>
                <w:rFonts w:cs="Times New Roman"/>
                <w:sz w:val="20"/>
                <w:szCs w:val="20"/>
              </w:rPr>
              <w:t>nyelv</w:t>
            </w:r>
            <w:proofErr w:type="gramEnd"/>
            <w:r w:rsidRPr="004E255D">
              <w:rPr>
                <w:rFonts w:cs="Times New Roman"/>
                <w:sz w:val="20"/>
                <w:szCs w:val="20"/>
              </w:rPr>
              <w:t xml:space="preserve"> mint jelrendszer</w:t>
            </w:r>
          </w:p>
          <w:p w14:paraId="5B8E85A3" w14:textId="77777777" w:rsidR="00CA0376" w:rsidRPr="004E255D" w:rsidRDefault="00CA0376" w:rsidP="004E255D">
            <w:pPr>
              <w:pStyle w:val="Listaszerbekezds"/>
              <w:numPr>
                <w:ilvl w:val="0"/>
                <w:numId w:val="8"/>
              </w:numPr>
              <w:ind w:left="182" w:hanging="142"/>
              <w:jc w:val="left"/>
              <w:rPr>
                <w:rFonts w:cs="Times New Roman"/>
                <w:sz w:val="20"/>
                <w:szCs w:val="20"/>
              </w:rPr>
            </w:pPr>
            <w:r w:rsidRPr="004E255D">
              <w:rPr>
                <w:rFonts w:cs="Times New Roman"/>
                <w:sz w:val="20"/>
                <w:szCs w:val="20"/>
              </w:rPr>
              <w:t>A nyelvi rendszer</w:t>
            </w:r>
          </w:p>
        </w:tc>
        <w:tc>
          <w:tcPr>
            <w:tcW w:w="3261" w:type="dxa"/>
          </w:tcPr>
          <w:p w14:paraId="05A9A3F9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8042E32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349AC">
              <w:rPr>
                <w:rFonts w:cs="Times New Roman"/>
                <w:sz w:val="20"/>
                <w:szCs w:val="20"/>
              </w:rPr>
              <w:t>Ráhangolódás</w:t>
            </w:r>
            <w:proofErr w:type="spellEnd"/>
            <w:r w:rsidRPr="004349AC">
              <w:rPr>
                <w:rFonts w:cs="Times New Roman"/>
                <w:sz w:val="20"/>
                <w:szCs w:val="20"/>
              </w:rPr>
              <w:t xml:space="preserve"> a tanévre</w:t>
            </w:r>
          </w:p>
          <w:p w14:paraId="336D0A7C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7937F41C" w14:textId="77777777" w:rsidR="00450174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729CD7CC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060F903E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2694" w:type="dxa"/>
          </w:tcPr>
          <w:p w14:paraId="1E1D59FD" w14:textId="4BB9B305" w:rsidR="00450174" w:rsidRPr="001865CF" w:rsidRDefault="004349AC" w:rsidP="003D239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450174" w:rsidRPr="001865CF" w14:paraId="57C9E9F8" w14:textId="77777777" w:rsidTr="009A678A">
        <w:tc>
          <w:tcPr>
            <w:tcW w:w="988" w:type="dxa"/>
            <w:vAlign w:val="center"/>
          </w:tcPr>
          <w:p w14:paraId="3B6EF961" w14:textId="77777777" w:rsidR="00450174" w:rsidRPr="001865CF" w:rsidRDefault="00450174" w:rsidP="00830E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14:paraId="2B61E20B" w14:textId="77777777" w:rsidR="00450174" w:rsidRPr="001865CF" w:rsidRDefault="00830E6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könyv és az </w:t>
            </w:r>
            <w:proofErr w:type="gramStart"/>
            <w:r>
              <w:rPr>
                <w:rFonts w:cs="Times New Roman"/>
                <w:sz w:val="20"/>
                <w:szCs w:val="20"/>
              </w:rPr>
              <w:t>internet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mint forrás</w:t>
            </w:r>
          </w:p>
        </w:tc>
        <w:tc>
          <w:tcPr>
            <w:tcW w:w="3261" w:type="dxa"/>
          </w:tcPr>
          <w:p w14:paraId="652997BC" w14:textId="77777777" w:rsidR="00A76615" w:rsidRPr="001865CF" w:rsidRDefault="00DB75C1" w:rsidP="00A7661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kulcsszó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katalógus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raktár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szabadpolc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jelzet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szakirodalom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lábjegyzet</w:t>
            </w:r>
            <w:r w:rsidR="00A76615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bibliográfia</w:t>
            </w:r>
            <w:r w:rsidR="00A76615">
              <w:rPr>
                <w:rFonts w:cs="Times New Roman"/>
                <w:sz w:val="20"/>
                <w:szCs w:val="20"/>
              </w:rPr>
              <w:t xml:space="preserve">, kézikönyv, </w:t>
            </w:r>
            <w:r>
              <w:rPr>
                <w:rFonts w:cs="Times New Roman"/>
                <w:sz w:val="20"/>
                <w:szCs w:val="20"/>
              </w:rPr>
              <w:t>szótár</w:t>
            </w:r>
            <w:r w:rsidR="00A76615">
              <w:rPr>
                <w:rFonts w:cs="Times New Roman"/>
                <w:sz w:val="20"/>
                <w:szCs w:val="20"/>
              </w:rPr>
              <w:t xml:space="preserve"> (értelmező szótár, általános tájszótár, regionális tájszótár, történeti szótár, etimológiai szótár, szinonimaszótár, írói szótár, helyesírási szótár), </w:t>
            </w:r>
            <w:r>
              <w:rPr>
                <w:rFonts w:cs="Times New Roman"/>
                <w:sz w:val="20"/>
                <w:szCs w:val="20"/>
              </w:rPr>
              <w:t>lexikon</w:t>
            </w:r>
            <w:r w:rsidR="00A76615">
              <w:rPr>
                <w:rFonts w:cs="Times New Roman"/>
                <w:sz w:val="20"/>
                <w:szCs w:val="20"/>
              </w:rPr>
              <w:t>, enciklopédia, forráskritika, forrásmegjelölés (hivatkozás), plágium, monográfia, tanulmánykötet</w:t>
            </w:r>
          </w:p>
        </w:tc>
        <w:tc>
          <w:tcPr>
            <w:tcW w:w="5244" w:type="dxa"/>
          </w:tcPr>
          <w:p w14:paraId="07AEFC0A" w14:textId="77777777" w:rsidR="00450174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5F07BEF5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4735A71A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70587213" w14:textId="77777777" w:rsidR="00F05E53" w:rsidRPr="004349AC" w:rsidRDefault="00F05E53" w:rsidP="004349A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2694" w:type="dxa"/>
          </w:tcPr>
          <w:p w14:paraId="2CE48213" w14:textId="77777777" w:rsidR="00450174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munka</w:t>
            </w:r>
          </w:p>
          <w:p w14:paraId="2288CBF7" w14:textId="77777777" w:rsidR="003D239F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C1D36BF" w14:textId="3F601CDF" w:rsidR="003D239F" w:rsidRPr="001865CF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Házi feladat: csoportos projektmunka</w:t>
            </w:r>
          </w:p>
        </w:tc>
      </w:tr>
      <w:tr w:rsidR="00450174" w:rsidRPr="001865CF" w14:paraId="3ECAC574" w14:textId="77777777" w:rsidTr="006E1C8F">
        <w:trPr>
          <w:trHeight w:val="433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821ABDA" w14:textId="77777777" w:rsidR="00450174" w:rsidRPr="004349AC" w:rsidRDefault="006E1C8F" w:rsidP="003D239F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349AC">
              <w:rPr>
                <w:rFonts w:cs="Times New Roman"/>
                <w:b/>
                <w:sz w:val="20"/>
                <w:szCs w:val="20"/>
              </w:rPr>
              <w:t>II. Szövegtan</w:t>
            </w:r>
          </w:p>
        </w:tc>
      </w:tr>
      <w:tr w:rsidR="00450174" w:rsidRPr="001865CF" w14:paraId="0832A710" w14:textId="77777777" w:rsidTr="009A678A">
        <w:tc>
          <w:tcPr>
            <w:tcW w:w="988" w:type="dxa"/>
            <w:vAlign w:val="center"/>
          </w:tcPr>
          <w:p w14:paraId="0405C557" w14:textId="77777777" w:rsidR="00450174" w:rsidRPr="001865CF" w:rsidRDefault="006E1C8F" w:rsidP="006E1C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6" w:type="dxa"/>
            <w:vAlign w:val="center"/>
          </w:tcPr>
          <w:p w14:paraId="6C70580B" w14:textId="77777777" w:rsidR="00450174" w:rsidRPr="001865CF" w:rsidRDefault="00E00C9D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3261" w:type="dxa"/>
          </w:tcPr>
          <w:p w14:paraId="2CEE9C1A" w14:textId="69922C70" w:rsidR="00450174" w:rsidRPr="001865CF" w:rsidRDefault="00DE317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szöveg, </w:t>
            </w:r>
            <w:r w:rsidR="001810A9">
              <w:rPr>
                <w:rFonts w:cs="Times New Roman"/>
                <w:sz w:val="20"/>
                <w:szCs w:val="20"/>
              </w:rPr>
              <w:t xml:space="preserve">szövegösszefüggés, </w:t>
            </w:r>
            <w:r w:rsidR="0065561C">
              <w:rPr>
                <w:rFonts w:cs="Times New Roman"/>
                <w:sz w:val="20"/>
                <w:szCs w:val="20"/>
              </w:rPr>
              <w:t xml:space="preserve">kontextus, </w:t>
            </w:r>
            <w:r>
              <w:rPr>
                <w:rFonts w:cs="Times New Roman"/>
                <w:sz w:val="20"/>
                <w:szCs w:val="20"/>
              </w:rPr>
              <w:t>koherencia</w:t>
            </w:r>
            <w:r w:rsidR="0065561C">
              <w:rPr>
                <w:rFonts w:cs="Times New Roman"/>
                <w:sz w:val="20"/>
                <w:szCs w:val="20"/>
              </w:rPr>
              <w:t xml:space="preserve">, </w:t>
            </w:r>
            <w:r w:rsidR="001810A9">
              <w:rPr>
                <w:rFonts w:cs="Times New Roman"/>
                <w:sz w:val="20"/>
                <w:szCs w:val="20"/>
              </w:rPr>
              <w:t>szöveg</w:t>
            </w:r>
            <w:r w:rsidR="0065561C">
              <w:rPr>
                <w:rFonts w:cs="Times New Roman"/>
                <w:sz w:val="20"/>
                <w:szCs w:val="20"/>
              </w:rPr>
              <w:t xml:space="preserve">kohézió, </w:t>
            </w:r>
            <w:proofErr w:type="spellStart"/>
            <w:r w:rsidR="0065561C">
              <w:rPr>
                <w:rFonts w:cs="Times New Roman"/>
                <w:sz w:val="20"/>
                <w:szCs w:val="20"/>
              </w:rPr>
              <w:t>konnexió</w:t>
            </w:r>
            <w:proofErr w:type="spellEnd"/>
            <w:r w:rsidR="0065561C">
              <w:rPr>
                <w:rFonts w:cs="Times New Roman"/>
                <w:sz w:val="20"/>
                <w:szCs w:val="20"/>
              </w:rPr>
              <w:t>; szövegszemantika</w:t>
            </w:r>
          </w:p>
        </w:tc>
        <w:tc>
          <w:tcPr>
            <w:tcW w:w="5244" w:type="dxa"/>
          </w:tcPr>
          <w:p w14:paraId="58E75FE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3F56B4D9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C64CECE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25EBD3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78D6435" w14:textId="77777777" w:rsidR="00450174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64A29CF" w14:textId="77777777" w:rsidR="00F05E53" w:rsidRDefault="00F05E5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632BAE6" w14:textId="77777777" w:rsidR="00F05E53" w:rsidRDefault="00F05E5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338D515" w14:textId="77777777" w:rsidR="00F05E53" w:rsidRPr="00CE29DD" w:rsidRDefault="00F05E5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53EE0079" w14:textId="77777777" w:rsidR="00450174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2AC0F2DA" w14:textId="77777777" w:rsidR="003D239F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58EAE8B1" w14:textId="77777777" w:rsidR="003D239F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46536410" w14:textId="16F9E199" w:rsidR="003D239F" w:rsidRPr="00821C1B" w:rsidRDefault="003D239F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CE29DD" w:rsidRPr="001865CF" w14:paraId="6237C19A" w14:textId="77777777" w:rsidTr="009A678A">
        <w:tc>
          <w:tcPr>
            <w:tcW w:w="988" w:type="dxa"/>
            <w:vAlign w:val="center"/>
          </w:tcPr>
          <w:p w14:paraId="1A3FBDD9" w14:textId="77777777" w:rsidR="00CE29DD" w:rsidRPr="001865CF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14:paraId="1A62E7AE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Kapcsolódás a beszédhelyzethez</w:t>
            </w:r>
          </w:p>
        </w:tc>
        <w:tc>
          <w:tcPr>
            <w:tcW w:w="3261" w:type="dxa"/>
          </w:tcPr>
          <w:p w14:paraId="5F5EBA60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beszédhelyzet, szövegpragmatika, szövegszándék, értelmi folytonosság, gondolkodási folyamat, szövegvilág, nézőpont, bennfoglalás, fogalmi séma, tudáskeret, forgatókönyv, intertextualitás</w:t>
            </w:r>
          </w:p>
        </w:tc>
        <w:tc>
          <w:tcPr>
            <w:tcW w:w="5244" w:type="dxa"/>
          </w:tcPr>
          <w:p w14:paraId="5020EF9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1A94FB62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607C8B8F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2502C63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67A0616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4248745A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0A46BFF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ED00487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D4AA8A7" w14:textId="77777777" w:rsidR="00F05E53" w:rsidRDefault="00F05E5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igényeség fejlesztése</w:t>
            </w:r>
          </w:p>
          <w:p w14:paraId="7434E103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2BA921D5" w14:textId="77777777" w:rsidR="00B85E51" w:rsidRPr="00CE29DD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24F39236" w14:textId="77777777" w:rsidR="00CE29DD" w:rsidRDefault="00507F40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47FCFFE5" w14:textId="77777777" w:rsidR="00507F40" w:rsidRDefault="00507F40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D21F809" w14:textId="77777777" w:rsidR="00507F40" w:rsidRDefault="00507F40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1283B808" w14:textId="7EFF3DA4" w:rsidR="00507F40" w:rsidRPr="0000594E" w:rsidRDefault="00507F40" w:rsidP="003D239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gyakorlása</w:t>
            </w:r>
          </w:p>
        </w:tc>
      </w:tr>
      <w:tr w:rsidR="00CE29DD" w:rsidRPr="001865CF" w14:paraId="5666AE12" w14:textId="77777777" w:rsidTr="009A678A">
        <w:tc>
          <w:tcPr>
            <w:tcW w:w="988" w:type="dxa"/>
            <w:vAlign w:val="center"/>
          </w:tcPr>
          <w:p w14:paraId="100B21B7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14:paraId="16192B1F" w14:textId="77777777" w:rsidR="00CE29DD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3261" w:type="dxa"/>
          </w:tcPr>
          <w:p w14:paraId="5E97FC3B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jelentésbeli, tartalmi kapcsolóelemek, cím, témamegjelölés, tételmondat,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izotópok,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izotópiatörés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körülírás, alá- és fölérendelt fogalmak, témaváltás, témahálózat, téma,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réma</w:t>
            </w:r>
            <w:proofErr w:type="spellEnd"/>
            <w:r>
              <w:rPr>
                <w:rFonts w:cs="Times New Roman"/>
                <w:sz w:val="20"/>
                <w:szCs w:val="20"/>
              </w:rPr>
              <w:t>, lineáris kohézió, globális kohézió, aktuális mondattagolás elve, szövegfókusz, szövegtopik, szövegfolytonosság</w:t>
            </w:r>
          </w:p>
        </w:tc>
        <w:tc>
          <w:tcPr>
            <w:tcW w:w="5244" w:type="dxa"/>
          </w:tcPr>
          <w:p w14:paraId="07B45794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2C906AB6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B5A867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1AE51524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6168C95D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C01D2F9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3D075A4C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5E1FE628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8CD707D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C612AB9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46B0E7B4" w14:textId="77777777" w:rsidR="00B85E51" w:rsidRPr="0073614B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7021D264" w14:textId="77777777" w:rsidR="00CE29DD" w:rsidRDefault="00FC5C24" w:rsidP="00507F4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Csoportmunka</w:t>
            </w:r>
          </w:p>
          <w:p w14:paraId="2AF1E283" w14:textId="77777777" w:rsidR="00FC5C24" w:rsidRDefault="00FC5C24" w:rsidP="00507F4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602DF4A" w14:textId="77777777" w:rsidR="00FC5C24" w:rsidRDefault="00FC5C24" w:rsidP="00507F4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0BB5BED5" w14:textId="18D9382B" w:rsidR="00FC5C24" w:rsidRPr="0000594E" w:rsidRDefault="00767DCB" w:rsidP="00507F4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CE29DD" w:rsidRPr="001865CF" w14:paraId="2C5FD747" w14:textId="77777777" w:rsidTr="009A678A">
        <w:tc>
          <w:tcPr>
            <w:tcW w:w="988" w:type="dxa"/>
            <w:vAlign w:val="center"/>
          </w:tcPr>
          <w:p w14:paraId="3C30C753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14:paraId="365B8C60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3261" w:type="dxa"/>
          </w:tcPr>
          <w:p w14:paraId="712514D1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nyelvtani (grammatikai) kapcsolóelemek, kötőszó, névmás, névelő, határozószó, előre- és visszautalás, anafora,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katafora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deixis</w:t>
            </w:r>
            <w:proofErr w:type="spellEnd"/>
            <w:r>
              <w:rPr>
                <w:rFonts w:cs="Times New Roman"/>
                <w:sz w:val="20"/>
                <w:szCs w:val="20"/>
              </w:rPr>
              <w:t>, egyeztetés</w:t>
            </w:r>
          </w:p>
        </w:tc>
        <w:tc>
          <w:tcPr>
            <w:tcW w:w="5244" w:type="dxa"/>
          </w:tcPr>
          <w:p w14:paraId="369C7CE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2C6F8D6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E90245F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0AD031B3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700F43B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14A4C8D3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0B9134F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7266A3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7C5490D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6902A60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3B6769F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9F1921F" w14:textId="77777777" w:rsidR="00B85E51" w:rsidRPr="0073614B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68085073" w14:textId="77777777" w:rsidR="00CE29DD" w:rsidRDefault="00C61D59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5F6752E7" w14:textId="77777777" w:rsidR="00C61D59" w:rsidRDefault="00C61D59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4B9A560F" w14:textId="77777777" w:rsidR="00C61D59" w:rsidRDefault="00C61D59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54222D41" w14:textId="77777777" w:rsidR="00C61D59" w:rsidRDefault="00C61D59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637F795D" w14:textId="08174C37" w:rsidR="00C61D59" w:rsidRPr="0000594E" w:rsidRDefault="00C61D59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CE29DD" w:rsidRPr="001865CF" w14:paraId="5B2D891B" w14:textId="77777777" w:rsidTr="009A678A">
        <w:trPr>
          <w:trHeight w:val="109"/>
        </w:trPr>
        <w:tc>
          <w:tcPr>
            <w:tcW w:w="988" w:type="dxa"/>
            <w:vAlign w:val="center"/>
          </w:tcPr>
          <w:p w14:paraId="73D2873F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14:paraId="6E9B6E86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intertextualitás</w:t>
            </w:r>
          </w:p>
        </w:tc>
        <w:tc>
          <w:tcPr>
            <w:tcW w:w="3261" w:type="dxa"/>
          </w:tcPr>
          <w:p w14:paraId="5BEC0795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intertextus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szó szerinti (egyenes) idézet, tartalmi (függő) idézet, mottó, parafrázis, paródia, allúzió (rájátszás),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palimpszeszt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(felülírás),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evokáció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(előhívás, felidézés), szállóige, közmondás, közhely (klisé), link; mém</w:t>
            </w:r>
          </w:p>
        </w:tc>
        <w:tc>
          <w:tcPr>
            <w:tcW w:w="5244" w:type="dxa"/>
          </w:tcPr>
          <w:p w14:paraId="08EBD78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AB89F00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77B8A2F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01516B2D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2B8957B8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EF6F46D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30BE2F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2A0FB690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Szövegtípusok: digitális és hagyományos, folyamatos és nem folyamatos</w:t>
            </w:r>
          </w:p>
          <w:p w14:paraId="37DB840F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7B6613CE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12B64E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6E89A89" w14:textId="77777777" w:rsidR="00B85E51" w:rsidRPr="0073614B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084C338E" w14:textId="77777777" w:rsidR="00CE29DD" w:rsidRDefault="0072597D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D7AC8D1" w14:textId="77777777" w:rsidR="0072597D" w:rsidRDefault="0072597D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47D6F90" w14:textId="367D7DDA" w:rsidR="0072597D" w:rsidRPr="0000594E" w:rsidRDefault="0072597D" w:rsidP="00C61D5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parafrázisok felismerése (szövegértés, meglévő ismeretek aktivizálása) és parafrázis-alkotás </w:t>
            </w:r>
          </w:p>
        </w:tc>
      </w:tr>
      <w:tr w:rsidR="00CE29DD" w:rsidRPr="001865CF" w14:paraId="22D2D93F" w14:textId="77777777" w:rsidTr="009A678A">
        <w:trPr>
          <w:trHeight w:val="155"/>
        </w:trPr>
        <w:tc>
          <w:tcPr>
            <w:tcW w:w="988" w:type="dxa"/>
            <w:vAlign w:val="center"/>
          </w:tcPr>
          <w:p w14:paraId="7CF1A792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vAlign w:val="center"/>
          </w:tcPr>
          <w:p w14:paraId="5DB69947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3261" w:type="dxa"/>
          </w:tcPr>
          <w:p w14:paraId="412321C5" w14:textId="27BFBEAC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monológ, dialógus, beszél</w:t>
            </w:r>
            <w:r w:rsidR="006C374D">
              <w:rPr>
                <w:rFonts w:cs="Times New Roman"/>
                <w:sz w:val="20"/>
                <w:szCs w:val="20"/>
              </w:rPr>
              <w:t>ő</w:t>
            </w:r>
            <w:r>
              <w:rPr>
                <w:rFonts w:cs="Times New Roman"/>
                <w:sz w:val="20"/>
                <w:szCs w:val="20"/>
              </w:rPr>
              <w:t xml:space="preserve">váltás,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polilogikus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5244" w:type="dxa"/>
          </w:tcPr>
          <w:p w14:paraId="7BD34865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738D55FB" w14:textId="77777777" w:rsidR="00CE29DD" w:rsidRPr="0073614B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02871CD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7AA2836F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479941D8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D7FD382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BE20C7A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7A056D86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3D479947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7ED00C56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0E762D64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66B80967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D4D9779" w14:textId="77777777" w:rsidR="00B85E51" w:rsidRPr="0073614B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652ADA82" w14:textId="77777777" w:rsidR="00CE29DD" w:rsidRDefault="001F008C" w:rsidP="0029587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7277879A" w14:textId="77777777" w:rsidR="001F008C" w:rsidRDefault="001F008C" w:rsidP="0029587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64B8DBBD" w14:textId="2896BACA" w:rsidR="001F008C" w:rsidRPr="0000594E" w:rsidRDefault="001F008C" w:rsidP="0029587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CE29DD" w:rsidRPr="001865CF" w14:paraId="57C14090" w14:textId="77777777" w:rsidTr="009A678A">
        <w:trPr>
          <w:trHeight w:val="201"/>
        </w:trPr>
        <w:tc>
          <w:tcPr>
            <w:tcW w:w="988" w:type="dxa"/>
            <w:vAlign w:val="center"/>
          </w:tcPr>
          <w:p w14:paraId="0DE51BD5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vAlign w:val="center"/>
          </w:tcPr>
          <w:p w14:paraId="29697AF8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és műfajok a nyelvhasználati színterek szerint</w:t>
            </w:r>
          </w:p>
        </w:tc>
        <w:tc>
          <w:tcPr>
            <w:tcW w:w="3261" w:type="dxa"/>
          </w:tcPr>
          <w:p w14:paraId="4E9F4599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magánéleti szövegtípus, informális kapcsolat; közéleti szövegtípus; publicisztikai szövegtípus; hivatalos szövegtípus; tudományos szövegtípus; szépirodalmi szövegtípus; elbeszélés, leírás, érvelés</w:t>
            </w:r>
          </w:p>
        </w:tc>
        <w:tc>
          <w:tcPr>
            <w:tcW w:w="5244" w:type="dxa"/>
          </w:tcPr>
          <w:p w14:paraId="4F3DDFB0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13BB4C5D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36D551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64653960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A570DAA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B3FAE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BADB9C6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Szövegtípusok: digitális és hagyományos, folyamatos és nem folyamatos</w:t>
            </w:r>
          </w:p>
          <w:p w14:paraId="62BCC7CE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7F4A12BB" w14:textId="02029B3D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57BD9B86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0044CCE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0034E9B" w14:textId="77777777" w:rsidR="00B85E51" w:rsidRPr="00353592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477B91D9" w14:textId="77777777" w:rsidR="00CE29DD" w:rsidRDefault="006666F9" w:rsidP="001D756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1A90058" w14:textId="77777777" w:rsidR="006666F9" w:rsidRDefault="006666F9" w:rsidP="001D756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Egyéni munka (vázlatkészítés,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kislőadás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)</w:t>
            </w:r>
          </w:p>
          <w:p w14:paraId="5353973B" w14:textId="77777777" w:rsidR="006666F9" w:rsidRDefault="006666F9" w:rsidP="001D756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79EB6CFE" w14:textId="24B0CB18" w:rsidR="006666F9" w:rsidRPr="0000594E" w:rsidRDefault="006666F9" w:rsidP="001D756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</w:t>
            </w:r>
          </w:p>
        </w:tc>
      </w:tr>
      <w:tr w:rsidR="00CE29DD" w:rsidRPr="001865CF" w14:paraId="2D798021" w14:textId="77777777" w:rsidTr="009A678A">
        <w:trPr>
          <w:trHeight w:val="105"/>
        </w:trPr>
        <w:tc>
          <w:tcPr>
            <w:tcW w:w="988" w:type="dxa"/>
            <w:vAlign w:val="center"/>
          </w:tcPr>
          <w:p w14:paraId="2BD6AA8E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vAlign w:val="center"/>
          </w:tcPr>
          <w:p w14:paraId="6559E60C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3261" w:type="dxa"/>
          </w:tcPr>
          <w:p w14:paraId="44DB39BE" w14:textId="54EC333A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</w:t>
            </w:r>
            <w:r w:rsidR="006C374D">
              <w:rPr>
                <w:rFonts w:cs="Times New Roman"/>
                <w:sz w:val="20"/>
                <w:szCs w:val="20"/>
              </w:rPr>
              <w:t>ó</w:t>
            </w:r>
            <w:r>
              <w:rPr>
                <w:rFonts w:cs="Times New Roman"/>
                <w:sz w:val="20"/>
                <w:szCs w:val="20"/>
              </w:rPr>
              <w:t>beszélgetés, vide</w:t>
            </w:r>
            <w:r w:rsidR="006C374D">
              <w:rPr>
                <w:rFonts w:cs="Times New Roman"/>
                <w:sz w:val="20"/>
                <w:szCs w:val="20"/>
              </w:rPr>
              <w:t>ó</w:t>
            </w:r>
            <w:r>
              <w:rPr>
                <w:rFonts w:cs="Times New Roman"/>
                <w:sz w:val="20"/>
                <w:szCs w:val="20"/>
              </w:rPr>
              <w:t>konferencia, harmadik típusú médium, blog, vlog</w:t>
            </w:r>
          </w:p>
        </w:tc>
        <w:tc>
          <w:tcPr>
            <w:tcW w:w="5244" w:type="dxa"/>
          </w:tcPr>
          <w:p w14:paraId="294310A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CE1CBD4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D55479A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5BA8B2A4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71DA134B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6231CA8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C0F2EFA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0D89ED69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7F659EA5" w14:textId="04760C38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78842769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00E8D093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7E963A64" w14:textId="77777777" w:rsidR="00B85E51" w:rsidRPr="00D82D8E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2D839C80" w14:textId="77777777" w:rsidR="00CE29DD" w:rsidRDefault="00037476" w:rsidP="00A9307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F69716A" w14:textId="77777777" w:rsidR="00037476" w:rsidRDefault="00037476" w:rsidP="00A9307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500EC13A" w14:textId="77777777" w:rsidR="00037476" w:rsidRDefault="00037476" w:rsidP="00A9307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6A70D8C5" w14:textId="77777777" w:rsidR="00037476" w:rsidRDefault="00037476" w:rsidP="00A9307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644B07DC" w14:textId="053044EC" w:rsidR="00037476" w:rsidRPr="0000594E" w:rsidRDefault="00037476" w:rsidP="00A9307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kutatómunka; szövegalkotás (poszt, blogbejegyzés)</w:t>
            </w:r>
          </w:p>
        </w:tc>
      </w:tr>
      <w:tr w:rsidR="00CE29DD" w:rsidRPr="001865CF" w14:paraId="22F4002C" w14:textId="77777777" w:rsidTr="009A678A">
        <w:trPr>
          <w:trHeight w:val="70"/>
        </w:trPr>
        <w:tc>
          <w:tcPr>
            <w:tcW w:w="988" w:type="dxa"/>
            <w:vAlign w:val="center"/>
          </w:tcPr>
          <w:p w14:paraId="29353979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vAlign w:val="center"/>
          </w:tcPr>
          <w:p w14:paraId="79EA955E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szöveg szerkezete és létrehozásának módja</w:t>
            </w:r>
          </w:p>
        </w:tc>
        <w:tc>
          <w:tcPr>
            <w:tcW w:w="3261" w:type="dxa"/>
          </w:tcPr>
          <w:p w14:paraId="3771431E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szövegmondat, fejezet,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makroszerkezeti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egységek,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mikroszerkezeti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egységek, mondattömb, bekezdés, szakasz, tételmondat; mondatfonetikai eszközök, szövegfonetika, prozódia, hangsúly, hanglejtés, hangerő, beszédtempó, szünet; margó, behúzás, sorköz, térköz, betűméret, betűtípus; tipográfia, képvers (</w:t>
            </w:r>
            <w:proofErr w:type="spellStart"/>
            <w:r>
              <w:rPr>
                <w:rFonts w:cs="Times New Roman"/>
                <w:sz w:val="20"/>
                <w:szCs w:val="20"/>
              </w:rPr>
              <w:t>kalligramma</w:t>
            </w:r>
            <w:proofErr w:type="spellEnd"/>
            <w:r>
              <w:rPr>
                <w:rFonts w:cs="Times New Roman"/>
                <w:sz w:val="20"/>
                <w:szCs w:val="20"/>
              </w:rPr>
              <w:t>), konkrét költészet</w:t>
            </w:r>
          </w:p>
        </w:tc>
        <w:tc>
          <w:tcPr>
            <w:tcW w:w="5244" w:type="dxa"/>
          </w:tcPr>
          <w:p w14:paraId="0F289511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22EB6560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B9CD031" w14:textId="77777777" w:rsidR="00B85E51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5E51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09EBCA1C" w14:textId="77777777" w:rsidR="00CE29DD" w:rsidRPr="00B85E51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5E51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35B553A3" w14:textId="77777777" w:rsidR="00CE29DD" w:rsidRP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856684A" w14:textId="77777777" w:rsidR="00CE29DD" w:rsidRDefault="00CE29D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75EB8AB7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8357248" w14:textId="77777777" w:rsidR="00B85E51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56E3242" w14:textId="77777777" w:rsidR="00B85E51" w:rsidRPr="009F370A" w:rsidRDefault="00B85E5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2C5018A9" w14:textId="77777777" w:rsidR="00CE29DD" w:rsidRDefault="00EB72B8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40C5D69F" w14:textId="77777777" w:rsidR="00EB72B8" w:rsidRDefault="00EB72B8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Folyamatábra készítése</w:t>
            </w:r>
          </w:p>
          <w:p w14:paraId="571BC7FE" w14:textId="1FDE8B56" w:rsidR="00EB72B8" w:rsidRDefault="00EB72B8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Szövegalkotás (minifogalmazások készítése)</w:t>
            </w:r>
          </w:p>
          <w:p w14:paraId="37941665" w14:textId="16B888BF" w:rsidR="00EB72B8" w:rsidRDefault="007C42DE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4062D730" w14:textId="29B7F9CB" w:rsidR="007C42DE" w:rsidRDefault="007C42DE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beszéd megtervezése tételmondatok alkotásával</w:t>
            </w:r>
          </w:p>
          <w:p w14:paraId="4F8B02B7" w14:textId="06DC93B9" w:rsidR="00EB72B8" w:rsidRPr="0000594E" w:rsidRDefault="00EB72B8" w:rsidP="00EB72B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CE29DD" w:rsidRPr="001865CF" w14:paraId="238C5C67" w14:textId="77777777" w:rsidTr="009A678A">
        <w:trPr>
          <w:trHeight w:val="183"/>
        </w:trPr>
        <w:tc>
          <w:tcPr>
            <w:tcW w:w="988" w:type="dxa"/>
            <w:vAlign w:val="center"/>
          </w:tcPr>
          <w:p w14:paraId="05B75BB9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vAlign w:val="center"/>
          </w:tcPr>
          <w:p w14:paraId="66468379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3261" w:type="dxa"/>
          </w:tcPr>
          <w:p w14:paraId="3A2EACCC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BA7E0E8" w14:textId="77777777" w:rsidR="00CE29DD" w:rsidRPr="004349AC" w:rsidRDefault="00F05E53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626BF31B" w14:textId="77777777" w:rsidR="00B85E51" w:rsidRPr="004349AC" w:rsidRDefault="00B85E51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625A2FF1" w14:textId="77777777" w:rsidR="00F05E53" w:rsidRPr="004349AC" w:rsidRDefault="00F05E53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2694" w:type="dxa"/>
          </w:tcPr>
          <w:p w14:paraId="67F1A508" w14:textId="77777777" w:rsidR="00CE29DD" w:rsidRDefault="007C42DE" w:rsidP="007C42DE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38EE2849" w14:textId="7EA009B7" w:rsidR="007C42DE" w:rsidRPr="0000594E" w:rsidRDefault="007C42DE" w:rsidP="007C42DE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CE29DD" w:rsidRPr="001865CF" w14:paraId="2E1A67EE" w14:textId="77777777" w:rsidTr="009A678A">
        <w:trPr>
          <w:trHeight w:val="88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AC193C3" w14:textId="77777777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2C1B534" w14:textId="77777777" w:rsidR="00CE29DD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 dolgozat</w:t>
            </w:r>
          </w:p>
          <w:p w14:paraId="09307863" w14:textId="77777777" w:rsidR="006C374D" w:rsidRDefault="006C374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5E6E045" w14:textId="77777777" w:rsidR="006C374D" w:rsidRDefault="006C374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FEE81AA" w14:textId="77777777" w:rsidR="006C374D" w:rsidRDefault="006C374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F4E9075" w14:textId="0B567C62" w:rsidR="006C374D" w:rsidRPr="001865CF" w:rsidRDefault="006C374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08B292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CB74B41" w14:textId="77777777" w:rsidR="00CE29DD" w:rsidRPr="004349AC" w:rsidRDefault="00B85E51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tananyag elsajátításának ellenőrzése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CEC9A5" w14:textId="75B260BC" w:rsidR="007C42DE" w:rsidRPr="0000594E" w:rsidRDefault="007C42DE" w:rsidP="007C42DE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CE29DD" w:rsidRPr="001865CF" w14:paraId="35647932" w14:textId="77777777" w:rsidTr="00294495">
        <w:trPr>
          <w:trHeight w:val="41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611D6A6" w14:textId="77777777" w:rsidR="00CE29DD" w:rsidRPr="004349AC" w:rsidRDefault="00CE29DD" w:rsidP="003D239F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III. Stilisztika</w:t>
            </w:r>
          </w:p>
        </w:tc>
      </w:tr>
      <w:tr w:rsidR="00CE29DD" w:rsidRPr="001865CF" w14:paraId="0D2C7EDB" w14:textId="77777777" w:rsidTr="009A678A">
        <w:trPr>
          <w:trHeight w:val="139"/>
        </w:trPr>
        <w:tc>
          <w:tcPr>
            <w:tcW w:w="988" w:type="dxa"/>
            <w:vAlign w:val="center"/>
          </w:tcPr>
          <w:p w14:paraId="6A8A334D" w14:textId="58125E52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2DEFD65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3261" w:type="dxa"/>
          </w:tcPr>
          <w:p w14:paraId="4FABDF29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interdiszciplinaritás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5244" w:type="dxa"/>
          </w:tcPr>
          <w:p w14:paraId="0F9D0F13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75803F4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69C5606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69CE85D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5C8B1CDD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5FDF2565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0EAA8F1A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0409224" w14:textId="77777777" w:rsidR="00CE29DD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083343AD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31B7FA19" w14:textId="77777777" w:rsidR="00222397" w:rsidRPr="004349AC" w:rsidRDefault="00222397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7A025809" w14:textId="77777777" w:rsidR="00222397" w:rsidRPr="004349AC" w:rsidRDefault="00222397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46F851FF" w14:textId="77777777" w:rsidR="00222397" w:rsidRPr="004349AC" w:rsidRDefault="00222397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48E7280F" w14:textId="77777777" w:rsidR="00CE29DD" w:rsidRDefault="00CA50F5" w:rsidP="00CA50F5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B018CF4" w14:textId="77777777" w:rsidR="00CA50F5" w:rsidRDefault="00E117E8" w:rsidP="00CA50F5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szövegek alkotása</w:t>
            </w:r>
          </w:p>
          <w:p w14:paraId="2F70352C" w14:textId="77777777" w:rsidR="00E117E8" w:rsidRDefault="00E117E8" w:rsidP="00CA50F5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3F6E7FE0" w14:textId="40AA0028" w:rsidR="00E117E8" w:rsidRPr="0000594E" w:rsidRDefault="00E117E8" w:rsidP="00CA50F5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CE29DD" w:rsidRPr="001865CF" w14:paraId="3A4F77B3" w14:textId="77777777" w:rsidTr="009A678A">
        <w:trPr>
          <w:trHeight w:val="70"/>
        </w:trPr>
        <w:tc>
          <w:tcPr>
            <w:tcW w:w="988" w:type="dxa"/>
            <w:vAlign w:val="center"/>
          </w:tcPr>
          <w:p w14:paraId="7F0B6029" w14:textId="054D828B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2750578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3261" w:type="dxa"/>
          </w:tcPr>
          <w:p w14:paraId="0E5FC11C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személyes (informális) kommunikáció, identitásjelzés, szleng, töltelékszó, képszerűség, emotikon, </w:t>
            </w:r>
            <w:proofErr w:type="spellStart"/>
            <w:r>
              <w:rPr>
                <w:rFonts w:cs="Times New Roman"/>
                <w:sz w:val="20"/>
                <w:szCs w:val="20"/>
              </w:rPr>
              <w:t>gif</w:t>
            </w:r>
            <w:proofErr w:type="spellEnd"/>
            <w:r>
              <w:rPr>
                <w:rFonts w:cs="Times New Roman"/>
                <w:sz w:val="20"/>
                <w:szCs w:val="20"/>
              </w:rPr>
              <w:t>, matrica, kifejtetlenség; együttműködő (asszertív) stílus, támadó (agresszív) stílus, behódoló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szubmisszív</w:t>
            </w:r>
            <w:proofErr w:type="spellEnd"/>
            <w:r>
              <w:rPr>
                <w:rFonts w:cs="Times New Roman"/>
                <w:sz w:val="20"/>
                <w:szCs w:val="20"/>
              </w:rPr>
              <w:t>) stílus</w:t>
            </w:r>
          </w:p>
        </w:tc>
        <w:tc>
          <w:tcPr>
            <w:tcW w:w="5244" w:type="dxa"/>
          </w:tcPr>
          <w:p w14:paraId="0A801409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E8D4DF8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3DF525D8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00B9A7F7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6D6D4FB2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5975CE0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6AD2AA1B" w14:textId="77777777" w:rsidR="002E451E" w:rsidRPr="002E451E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2ED4B882" w14:textId="77777777" w:rsidR="00CE29DD" w:rsidRDefault="002E451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lastRenderedPageBreak/>
              <w:t>A mindennapi kommunikáció gyakori metaforikus kifejezéseinek és használati körének megfigyelése, értelmezése</w:t>
            </w:r>
          </w:p>
          <w:p w14:paraId="31B71FE1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94ECD9C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3F32AF77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6824140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1E0DDFA3" w14:textId="77777777" w:rsidR="00382CC4" w:rsidRPr="004349AC" w:rsidRDefault="00382CC4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5492A36" w14:textId="77777777" w:rsidR="00382CC4" w:rsidRPr="004349AC" w:rsidRDefault="00382CC4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2E523B9" w14:textId="77777777" w:rsidR="00382CC4" w:rsidRPr="004349AC" w:rsidRDefault="00382CC4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3D0D18A3" w14:textId="77777777" w:rsidR="00CE29DD" w:rsidRDefault="00E117E8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10E4D4A4" w14:textId="77777777" w:rsidR="00E117E8" w:rsidRDefault="00E117E8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28671F05" w14:textId="77777777" w:rsidR="00E117E8" w:rsidRDefault="00E117E8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3C6873D0" w14:textId="77777777" w:rsidR="00E117E8" w:rsidRDefault="00E117E8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1B983C56" w14:textId="40AA2078" w:rsidR="00E117E8" w:rsidRPr="0000594E" w:rsidRDefault="00E117E8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CE29DD" w:rsidRPr="001865CF" w14:paraId="5EAB2800" w14:textId="77777777" w:rsidTr="009A678A">
        <w:trPr>
          <w:trHeight w:val="70"/>
        </w:trPr>
        <w:tc>
          <w:tcPr>
            <w:tcW w:w="988" w:type="dxa"/>
            <w:vAlign w:val="center"/>
          </w:tcPr>
          <w:p w14:paraId="15AFDA4F" w14:textId="53C8E1E6" w:rsidR="00CE29DD" w:rsidRDefault="00CE29DD" w:rsidP="00CE29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1656B8BB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3261" w:type="dxa"/>
          </w:tcPr>
          <w:p w14:paraId="17F9A1F9" w14:textId="77777777" w:rsidR="00CE29DD" w:rsidRPr="001865CF" w:rsidRDefault="00CE29DD" w:rsidP="00CE29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ismeretterjesztő szöveg, objektivitás, szakszó (terminus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technicus</w:t>
            </w:r>
            <w:proofErr w:type="spellEnd"/>
            <w:r>
              <w:rPr>
                <w:rFonts w:cs="Times New Roman"/>
                <w:sz w:val="20"/>
                <w:szCs w:val="20"/>
              </w:rPr>
              <w:t>), előadás, megbeszélés, vita</w:t>
            </w:r>
          </w:p>
        </w:tc>
        <w:tc>
          <w:tcPr>
            <w:tcW w:w="5244" w:type="dxa"/>
          </w:tcPr>
          <w:p w14:paraId="5EC77E3C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2642A727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6135776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0F0F30F9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54D67189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1CE6DA2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750CA07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616330C7" w14:textId="77777777" w:rsidR="00CE29DD" w:rsidRPr="00646301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35533203" w14:textId="77777777" w:rsidR="00646301" w:rsidRPr="00FE0D0D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3B27042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F8985A4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9D8D379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6E359C33" w14:textId="77777777" w:rsidR="00FE0D0D" w:rsidRPr="004349AC" w:rsidRDefault="00FE0D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9B6492A" w14:textId="77777777" w:rsidR="00714B53" w:rsidRPr="004349AC" w:rsidRDefault="00714B53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012194D2" w14:textId="77777777" w:rsidR="00714B53" w:rsidRPr="004349AC" w:rsidRDefault="00714B53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056F77D" w14:textId="77777777" w:rsidR="00714B53" w:rsidRPr="004349AC" w:rsidRDefault="00714B53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33C4B10D" w14:textId="77777777" w:rsidR="00CE29DD" w:rsidRDefault="00B71F2C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E9AFF88" w14:textId="77777777" w:rsidR="00B71F2C" w:rsidRDefault="00B71F2C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Egyéni munka: </w:t>
            </w:r>
            <w:r w:rsidR="005371C5">
              <w:rPr>
                <w:rFonts w:eastAsia="Calibri" w:cs="Times New Roman"/>
                <w:color w:val="000000"/>
                <w:sz w:val="20"/>
                <w:lang w:eastAsia="hu-HU"/>
              </w:rPr>
              <w:t>szócikk alkotása</w:t>
            </w:r>
          </w:p>
          <w:p w14:paraId="2361168F" w14:textId="43A14C70" w:rsidR="005371C5" w:rsidRPr="0000594E" w:rsidRDefault="005371C5" w:rsidP="00E117E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BE78D6" w:rsidRPr="001865CF" w14:paraId="53233298" w14:textId="77777777" w:rsidTr="009A678A">
        <w:trPr>
          <w:trHeight w:val="70"/>
        </w:trPr>
        <w:tc>
          <w:tcPr>
            <w:tcW w:w="988" w:type="dxa"/>
            <w:vAlign w:val="center"/>
          </w:tcPr>
          <w:p w14:paraId="672A7757" w14:textId="7B3E5B49" w:rsidR="00BE78D6" w:rsidRDefault="00BE78D6" w:rsidP="00BE78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33141A9" w14:textId="77777777" w:rsidR="00BE78D6" w:rsidRPr="001865CF" w:rsidRDefault="00BE78D6" w:rsidP="00BE78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3261" w:type="dxa"/>
          </w:tcPr>
          <w:p w14:paraId="73B0D04D" w14:textId="77777777" w:rsidR="00BE78D6" w:rsidRPr="001865CF" w:rsidRDefault="00BE78D6" w:rsidP="00BE78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5244" w:type="dxa"/>
          </w:tcPr>
          <w:p w14:paraId="613406FE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3FD2334" w14:textId="77777777" w:rsidR="00BE78D6" w:rsidRPr="00BE78D6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413C4F11" w14:textId="77777777" w:rsidR="00BE78D6" w:rsidRPr="00646301" w:rsidRDefault="00BE78D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41B21C76" w14:textId="77777777" w:rsidR="00646301" w:rsidRPr="001306D3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8FABA2C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75C52BFB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lastRenderedPageBreak/>
              <w:t>A szövegszervező erők megismertetése és alkalmazása a gyakorlatban</w:t>
            </w:r>
          </w:p>
          <w:p w14:paraId="28354202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E320A17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0B9D326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73E61485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CAE299A" w14:textId="77777777" w:rsid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207EE4EB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F20DB65" w14:textId="77777777" w:rsidR="00014D76" w:rsidRPr="001306D3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2694" w:type="dxa"/>
          </w:tcPr>
          <w:p w14:paraId="312A918C" w14:textId="77777777" w:rsidR="00BE78D6" w:rsidRDefault="00DC6BAF" w:rsidP="00D75FE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0A5AB0BB" w14:textId="77777777" w:rsidR="00DC6BAF" w:rsidRDefault="00EF7F83" w:rsidP="00D75FE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6A8D8B3A" w14:textId="237BF630" w:rsidR="00EF7F83" w:rsidRPr="0000594E" w:rsidRDefault="00EF7F83" w:rsidP="00D75FE2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864620" w:rsidRPr="001865CF" w14:paraId="02839808" w14:textId="77777777" w:rsidTr="009A678A">
        <w:trPr>
          <w:trHeight w:val="70"/>
        </w:trPr>
        <w:tc>
          <w:tcPr>
            <w:tcW w:w="988" w:type="dxa"/>
            <w:vAlign w:val="center"/>
          </w:tcPr>
          <w:p w14:paraId="0858DB19" w14:textId="31F87575" w:rsidR="00864620" w:rsidRDefault="00864620" w:rsidP="008646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3D9F472" w14:textId="77777777" w:rsidR="00864620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3261" w:type="dxa"/>
          </w:tcPr>
          <w:p w14:paraId="6B839340" w14:textId="77777777" w:rsidR="00864620" w:rsidRPr="001865CF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5244" w:type="dxa"/>
          </w:tcPr>
          <w:p w14:paraId="31B4F649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06592810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562A39D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42B818B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415A497" w14:textId="77777777" w:rsidR="00864620" w:rsidRPr="00646301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D57E854" w14:textId="77777777" w:rsidR="00646301" w:rsidRPr="001306D3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078D68D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6CBB8C4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07BED01" w14:textId="77777777" w:rsidR="001306D3" w:rsidRP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D4002E0" w14:textId="77777777" w:rsidR="001306D3" w:rsidRDefault="001306D3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BBB181A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3987749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4B24FD31" w14:textId="77777777" w:rsidR="00014D76" w:rsidRPr="001306D3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45858ED7" w14:textId="52C0F009" w:rsidR="00864620" w:rsidRDefault="000041E2" w:rsidP="00A65DB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EC57996" w14:textId="3C2978E2" w:rsidR="00C873D9" w:rsidRDefault="00C873D9" w:rsidP="00A65DB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138E7C55" w14:textId="77777777" w:rsidR="000041E2" w:rsidRDefault="000041E2" w:rsidP="00A65DB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058D9FEC" w14:textId="77777777" w:rsidR="000041E2" w:rsidRDefault="000041E2" w:rsidP="00A65DB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65121A30" w14:textId="38814C31" w:rsidR="000041E2" w:rsidRPr="0000594E" w:rsidRDefault="000041E2" w:rsidP="00A65DB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864620" w:rsidRPr="001865CF" w14:paraId="7B6E0FF2" w14:textId="77777777" w:rsidTr="009A678A">
        <w:trPr>
          <w:trHeight w:val="70"/>
        </w:trPr>
        <w:tc>
          <w:tcPr>
            <w:tcW w:w="988" w:type="dxa"/>
            <w:vAlign w:val="center"/>
          </w:tcPr>
          <w:p w14:paraId="0D6C104D" w14:textId="69B20057" w:rsidR="00864620" w:rsidRDefault="00864620" w:rsidP="008646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B64C3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5B9FF98" w14:textId="77777777" w:rsidR="00864620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3261" w:type="dxa"/>
          </w:tcPr>
          <w:p w14:paraId="4B8F1561" w14:textId="77777777" w:rsidR="00864620" w:rsidRPr="001865CF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személytelenség, tényszerűség, sablon, szaknyelv, körülíró (terpeszkedő) kifejezés; hivatalos iratok: kérvény, bejelentés, igazolás, nyilatkozat, meghatalmazás, elismervény, fellebbezés, önéletrajz, 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5244" w:type="dxa"/>
          </w:tcPr>
          <w:p w14:paraId="4B33F5B1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23655DC5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2CB1993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44A0C90F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674E282E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C68547D" w14:textId="77777777" w:rsidR="00864620" w:rsidRPr="00646301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097E08D8" w14:textId="77777777" w:rsidR="00646301" w:rsidRPr="00F25D8C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325FA3F" w14:textId="77777777" w:rsidR="00F25D8C" w:rsidRPr="00F25D8C" w:rsidRDefault="00F25D8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lastRenderedPageBreak/>
              <w:t>A szóbeli és az írásbeli szövegértés és szövegalkotás fejlesztése</w:t>
            </w:r>
          </w:p>
          <w:p w14:paraId="22FE0A12" w14:textId="77777777" w:rsidR="00F25D8C" w:rsidRPr="00F25D8C" w:rsidRDefault="00F25D8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6D51D73" w14:textId="77777777" w:rsidR="00F25D8C" w:rsidRPr="00F25D8C" w:rsidRDefault="00F25D8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38D76E23" w14:textId="77777777" w:rsidR="00F25D8C" w:rsidRDefault="00F25D8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BA918BF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1271DAB" w14:textId="77777777" w:rsidR="00014D76" w:rsidRP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2694" w:type="dxa"/>
          </w:tcPr>
          <w:p w14:paraId="61FB6856" w14:textId="77777777" w:rsidR="00864620" w:rsidRDefault="00992D4C" w:rsidP="00C873D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Fürtábra készítése</w:t>
            </w:r>
          </w:p>
          <w:p w14:paraId="37E9FE5D" w14:textId="77777777" w:rsidR="00992D4C" w:rsidRDefault="00992D4C" w:rsidP="00C873D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95E7DED" w14:textId="77777777" w:rsidR="00992D4C" w:rsidRDefault="00992D4C" w:rsidP="00C873D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7603AB45" w14:textId="77777777" w:rsidR="00992D4C" w:rsidRDefault="00992D4C" w:rsidP="00C873D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34AA117F" w14:textId="46520156" w:rsidR="00992D4C" w:rsidRPr="0000594E" w:rsidRDefault="00992D4C" w:rsidP="00C873D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864620" w:rsidRPr="001865CF" w14:paraId="12D74E97" w14:textId="77777777" w:rsidTr="009A678A">
        <w:trPr>
          <w:trHeight w:val="70"/>
        </w:trPr>
        <w:tc>
          <w:tcPr>
            <w:tcW w:w="988" w:type="dxa"/>
            <w:vAlign w:val="center"/>
          </w:tcPr>
          <w:p w14:paraId="4866BCD0" w14:textId="2F39B111" w:rsidR="00864620" w:rsidRDefault="00FB64C3" w:rsidP="008646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86462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86641D1" w14:textId="77777777" w:rsidR="00864620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ügyintézés</w:t>
            </w:r>
          </w:p>
        </w:tc>
        <w:tc>
          <w:tcPr>
            <w:tcW w:w="3261" w:type="dxa"/>
          </w:tcPr>
          <w:p w14:paraId="75F7C8FD" w14:textId="77777777" w:rsidR="00864620" w:rsidRPr="001865CF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tárgy, megszólítás, üdvözlés, keltezés, aláírás, beadvány, szerződés</w:t>
            </w:r>
          </w:p>
        </w:tc>
        <w:tc>
          <w:tcPr>
            <w:tcW w:w="5244" w:type="dxa"/>
          </w:tcPr>
          <w:p w14:paraId="3DE6787D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4DA92083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6C5117E8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E0F02B5" w14:textId="77777777" w:rsidR="00864620" w:rsidRPr="00D36A9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0E7DB75" w14:textId="77777777" w:rsidR="00D36A96" w:rsidRPr="00D36A96" w:rsidRDefault="00D36A9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79DADB29" w14:textId="77777777" w:rsidR="00D36A96" w:rsidRPr="00D36A96" w:rsidRDefault="00D36A9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5C16B4EB" w14:textId="77777777" w:rsidR="00D36A96" w:rsidRPr="00D36A96" w:rsidRDefault="00D36A9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E27937B" w14:textId="77777777" w:rsidR="00D36A96" w:rsidRDefault="00D36A9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F51B60A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7CC18E3F" w14:textId="77777777" w:rsidR="00014D76" w:rsidRPr="00D36A9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787253C3" w14:textId="77777777" w:rsidR="00864620" w:rsidRDefault="002A03DC" w:rsidP="00992D4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287B0764" w14:textId="20AC433F" w:rsidR="002A03DC" w:rsidRPr="0000594E" w:rsidRDefault="002A03DC" w:rsidP="00992D4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szövegek alkotása</w:t>
            </w:r>
          </w:p>
        </w:tc>
      </w:tr>
      <w:tr w:rsidR="00864620" w:rsidRPr="001865CF" w14:paraId="60208886" w14:textId="77777777" w:rsidTr="009A678A">
        <w:trPr>
          <w:trHeight w:val="802"/>
        </w:trPr>
        <w:tc>
          <w:tcPr>
            <w:tcW w:w="988" w:type="dxa"/>
            <w:vAlign w:val="center"/>
          </w:tcPr>
          <w:p w14:paraId="68EEA05D" w14:textId="7440F7EF" w:rsidR="00864620" w:rsidRDefault="00864620" w:rsidP="008646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58B01C1" w14:textId="77777777" w:rsidR="00864620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álláskeresés</w:t>
            </w:r>
          </w:p>
        </w:tc>
        <w:tc>
          <w:tcPr>
            <w:tcW w:w="3261" w:type="dxa"/>
          </w:tcPr>
          <w:p w14:paraId="60CF0727" w14:textId="77777777" w:rsidR="00864620" w:rsidRPr="001865CF" w:rsidRDefault="00864620" w:rsidP="0086462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Europass</w:t>
            </w:r>
            <w:proofErr w:type="spellEnd"/>
            <w:r>
              <w:rPr>
                <w:rFonts w:cs="Times New Roman"/>
                <w:sz w:val="20"/>
                <w:szCs w:val="20"/>
              </w:rPr>
              <w:t>, interjú</w:t>
            </w:r>
          </w:p>
        </w:tc>
        <w:tc>
          <w:tcPr>
            <w:tcW w:w="5244" w:type="dxa"/>
          </w:tcPr>
          <w:p w14:paraId="01524C4C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D45AD04" w14:textId="77777777" w:rsidR="00864620" w:rsidRPr="00BE78D6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50B4F25" w14:textId="77777777" w:rsidR="00864620" w:rsidRDefault="00864620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1DE7F178" w14:textId="77777777" w:rsidR="00450979" w:rsidRPr="00450979" w:rsidRDefault="00450979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50979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662756D1" w14:textId="77777777" w:rsidR="00450979" w:rsidRPr="00450979" w:rsidRDefault="00450979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50979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0E3A820C" w14:textId="77777777" w:rsidR="00450979" w:rsidRPr="00450979" w:rsidRDefault="00450979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50979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59BABF8" w14:textId="77777777" w:rsidR="00450979" w:rsidRDefault="00450979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50979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0215056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913EE33" w14:textId="77777777" w:rsidR="00014D76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CA5F737" w14:textId="77777777" w:rsidR="00014D76" w:rsidRPr="00450979" w:rsidRDefault="00014D76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gondolkodás fejlesztése</w:t>
            </w:r>
          </w:p>
        </w:tc>
        <w:tc>
          <w:tcPr>
            <w:tcW w:w="2694" w:type="dxa"/>
          </w:tcPr>
          <w:p w14:paraId="01224BA5" w14:textId="77777777" w:rsidR="00864620" w:rsidRDefault="00184F89" w:rsidP="004E325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782AEC27" w14:textId="77777777" w:rsidR="00184F89" w:rsidRDefault="00184F89" w:rsidP="004E325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2609C6E8" w14:textId="2C3DEAD7" w:rsidR="00184F89" w:rsidRPr="0000594E" w:rsidRDefault="00184F89" w:rsidP="004E3253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önéletrajz készítése</w:t>
            </w:r>
          </w:p>
        </w:tc>
      </w:tr>
      <w:tr w:rsidR="00847D9E" w:rsidRPr="001865CF" w14:paraId="7269660C" w14:textId="77777777" w:rsidTr="009A678A">
        <w:trPr>
          <w:trHeight w:val="70"/>
        </w:trPr>
        <w:tc>
          <w:tcPr>
            <w:tcW w:w="988" w:type="dxa"/>
            <w:vAlign w:val="center"/>
          </w:tcPr>
          <w:p w14:paraId="5B225924" w14:textId="3F1EB1E2" w:rsidR="00847D9E" w:rsidRDefault="00847D9E" w:rsidP="00847D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FC29976" w14:textId="77777777" w:rsidR="00847D9E" w:rsidRDefault="00847D9E" w:rsidP="00847D9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szónoki stílus</w:t>
            </w:r>
          </w:p>
        </w:tc>
        <w:tc>
          <w:tcPr>
            <w:tcW w:w="3261" w:type="dxa"/>
          </w:tcPr>
          <w:p w14:paraId="77862678" w14:textId="77777777" w:rsidR="00847D9E" w:rsidRPr="001865CF" w:rsidRDefault="00847D9E" w:rsidP="00847D9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kisközéletiség, nagyközéletiség, nyilvánosság, normakövetés, igényesség, választékosság</w:t>
            </w:r>
          </w:p>
        </w:tc>
        <w:tc>
          <w:tcPr>
            <w:tcW w:w="5244" w:type="dxa"/>
          </w:tcPr>
          <w:p w14:paraId="707ECB4B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B49E645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D13BFCD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29B21A67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0ABAFDF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stílusérték</w:t>
            </w:r>
          </w:p>
          <w:p w14:paraId="4586B84E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5C596E50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6DE9D511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3E9FDD7E" w14:textId="77777777" w:rsidR="00847D9E" w:rsidRPr="00BE78D6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16010F68" w14:textId="77777777" w:rsidR="00847D9E" w:rsidRPr="00646301" w:rsidRDefault="00847D9E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41B8BA16" w14:textId="77777777" w:rsidR="00646301" w:rsidRPr="00456AC8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6C7A566" w14:textId="77777777" w:rsidR="00456AC8" w:rsidRPr="004349AC" w:rsidRDefault="00456AC8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42117DE" w14:textId="77777777" w:rsidR="00456AC8" w:rsidRPr="004349AC" w:rsidRDefault="00456AC8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49D6302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EC28E1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2E921D1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1316B808" w14:textId="77777777" w:rsidR="00847D9E" w:rsidRDefault="003308B6" w:rsidP="00184F8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150891B" w14:textId="4082D804" w:rsidR="003308B6" w:rsidRDefault="003308B6" w:rsidP="00184F8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megadott témában érvek gyűjtése és ütköztetése</w:t>
            </w:r>
          </w:p>
          <w:p w14:paraId="76A5E359" w14:textId="289DEA76" w:rsidR="003308B6" w:rsidRDefault="003308B6" w:rsidP="00184F8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szónoki stílus elemzése videón megtekintett beszéd alapján</w:t>
            </w:r>
          </w:p>
          <w:p w14:paraId="24C34637" w14:textId="1C63ECDF" w:rsidR="003308B6" w:rsidRPr="0000594E" w:rsidRDefault="003308B6" w:rsidP="00184F89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csoportos projektmunka</w:t>
            </w:r>
          </w:p>
        </w:tc>
      </w:tr>
      <w:tr w:rsidR="008D4337" w:rsidRPr="001865CF" w14:paraId="294F6DF1" w14:textId="77777777" w:rsidTr="009A678A">
        <w:trPr>
          <w:trHeight w:val="70"/>
        </w:trPr>
        <w:tc>
          <w:tcPr>
            <w:tcW w:w="988" w:type="dxa"/>
            <w:vAlign w:val="center"/>
          </w:tcPr>
          <w:p w14:paraId="507CD1CB" w14:textId="2F13FA81" w:rsidR="008D4337" w:rsidRDefault="008D4337" w:rsidP="008D43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F894744" w14:textId="77777777" w:rsidR="008D4337" w:rsidRDefault="008D4337" w:rsidP="008D433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irodalmi stílus</w:t>
            </w:r>
          </w:p>
        </w:tc>
        <w:tc>
          <w:tcPr>
            <w:tcW w:w="3261" w:type="dxa"/>
          </w:tcPr>
          <w:p w14:paraId="307FD279" w14:textId="77777777" w:rsidR="008D4337" w:rsidRPr="001865CF" w:rsidRDefault="008D4337" w:rsidP="008D433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műnem, műfaj, szóképek, alakzatok,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poétizáció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denotatív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jelentés,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konnotatív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jelentés, archaizálás, verbális stílus, nominális stílus, körmondat, hangszimbolika, szövegjelentés, jóhangzás (eufónia), rosszhangzás (kakofónia), hangutánzó szavak, hangulatfestő szavak</w:t>
            </w:r>
          </w:p>
        </w:tc>
        <w:tc>
          <w:tcPr>
            <w:tcW w:w="5244" w:type="dxa"/>
          </w:tcPr>
          <w:p w14:paraId="32BA2C79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2B48E07F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5D92701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16BA140D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7BA00385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stílusérték</w:t>
            </w:r>
          </w:p>
          <w:p w14:paraId="44B40C7D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4A4FE4F6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760F8B21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4D59620E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91390AB" w14:textId="77777777" w:rsidR="008D4337" w:rsidRPr="00BE78D6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metaforikus kifejezések szerkezete, jellemző típusai, használatuk</w:t>
            </w:r>
          </w:p>
          <w:p w14:paraId="7EA1EB4D" w14:textId="77777777" w:rsidR="008D4337" w:rsidRPr="00646301" w:rsidRDefault="008D43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4CCDA7E" w14:textId="77777777" w:rsidR="00646301" w:rsidRPr="0016134F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1E6CE71" w14:textId="77777777" w:rsidR="0016134F" w:rsidRPr="004349AC" w:rsidRDefault="0016134F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E8AA781" w14:textId="77777777" w:rsidR="0016134F" w:rsidRPr="004349AC" w:rsidRDefault="0016134F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5848F3A0" w14:textId="77777777" w:rsidR="0016134F" w:rsidRPr="004349AC" w:rsidRDefault="0016134F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1B73365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C3B5D3D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C74EC2B" w14:textId="77777777" w:rsidR="00014D76" w:rsidRPr="004349AC" w:rsidRDefault="00014D76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0BBEBE01" w14:textId="77777777" w:rsidR="008D4337" w:rsidRDefault="00703B00" w:rsidP="003308B6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690C57AB" w14:textId="77777777" w:rsidR="00703B00" w:rsidRDefault="00703B00" w:rsidP="003308B6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munka: szépirodalmi szövegrészletek stíluselemzése</w:t>
            </w:r>
          </w:p>
          <w:p w14:paraId="6C94F387" w14:textId="57714FB6" w:rsidR="00703B00" w:rsidRPr="0000594E" w:rsidRDefault="00703B00" w:rsidP="003308B6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gyűjtőmunka és szövegalkotás megadott stíluselemekkel</w:t>
            </w:r>
          </w:p>
        </w:tc>
      </w:tr>
      <w:tr w:rsidR="005E173B" w:rsidRPr="001865CF" w14:paraId="5D10479F" w14:textId="77777777" w:rsidTr="009A678A">
        <w:trPr>
          <w:trHeight w:val="70"/>
        </w:trPr>
        <w:tc>
          <w:tcPr>
            <w:tcW w:w="988" w:type="dxa"/>
            <w:vAlign w:val="center"/>
          </w:tcPr>
          <w:p w14:paraId="67397F9B" w14:textId="750B37CE" w:rsidR="005E173B" w:rsidRDefault="005E173B" w:rsidP="005E17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3E13AF9" w14:textId="77777777" w:rsidR="005E173B" w:rsidRDefault="005E173B" w:rsidP="005E17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Hangalak és jelentés</w:t>
            </w:r>
          </w:p>
        </w:tc>
        <w:tc>
          <w:tcPr>
            <w:tcW w:w="3261" w:type="dxa"/>
          </w:tcPr>
          <w:p w14:paraId="12A017E2" w14:textId="77777777" w:rsidR="005E173B" w:rsidRPr="001865CF" w:rsidRDefault="005E173B" w:rsidP="005E17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metaforikus jelentés, motivált szavak, motiválatlan szavak, egyjelentésű szavak, többjelentésű szavak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poliszémia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poliszémák</w:t>
            </w:r>
            <w:proofErr w:type="spellEnd"/>
            <w:r>
              <w:rPr>
                <w:rFonts w:cs="Times New Roman"/>
                <w:sz w:val="20"/>
                <w:szCs w:val="20"/>
              </w:rPr>
              <w:t>), azonos alakú szavak (homonímia, homonimák), szótári homonímia, nyelvtani homonímia, vegyes homonímia, homofónia, homográfia, rokon értelmű szavak (szinonímia, szinonimák), hasonló alakú szavak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paronímia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paronimák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alakváltozatok, alakpárok, ellentétes jelentésű szavak (antonímia,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antonimák</w:t>
            </w:r>
            <w:proofErr w:type="spellEnd"/>
            <w:r>
              <w:rPr>
                <w:rFonts w:cs="Times New Roman"/>
                <w:sz w:val="20"/>
                <w:szCs w:val="20"/>
              </w:rPr>
              <w:t>); jelentésmező, jelentésszerkezet, jelentéselem, jelhasználati szabály</w:t>
            </w:r>
          </w:p>
        </w:tc>
        <w:tc>
          <w:tcPr>
            <w:tcW w:w="5244" w:type="dxa"/>
          </w:tcPr>
          <w:p w14:paraId="22C10023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hangalak és jelentés viszonyának felismertetése</w:t>
            </w:r>
          </w:p>
          <w:p w14:paraId="612EF9AF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622D868A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078F3F6B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1D8092D6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688DE099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jel és a nyelvi jel fogalma, összetevői</w:t>
            </w:r>
          </w:p>
          <w:p w14:paraId="25EE4B04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jel és a jelentés összefüggése, jelentéselemek</w:t>
            </w:r>
          </w:p>
          <w:p w14:paraId="41C08E7A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hangalak és a jelentés viszonya, jelentésmező</w:t>
            </w:r>
          </w:p>
          <w:p w14:paraId="1326B6BD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 xml:space="preserve">Motivált és motiválatlan jelentés </w:t>
            </w:r>
          </w:p>
          <w:p w14:paraId="4F3D3106" w14:textId="77777777" w:rsidR="005E173B" w:rsidRPr="00BE78D6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798E8E24" w14:textId="77777777" w:rsidR="005E173B" w:rsidRPr="007D64ED" w:rsidRDefault="005E173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CEFE88C" w14:textId="77777777" w:rsidR="007D64ED" w:rsidRPr="004349AC" w:rsidRDefault="007D64E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AB92B3C" w14:textId="77777777" w:rsidR="007D64ED" w:rsidRPr="004349AC" w:rsidRDefault="007D64E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CBC77AF" w14:textId="77777777" w:rsidR="00A3730D" w:rsidRPr="004349AC" w:rsidRDefault="00A373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25485B14" w14:textId="77777777" w:rsidR="00A3730D" w:rsidRPr="004349AC" w:rsidRDefault="00A3730D" w:rsidP="004349A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17501FC7" w14:textId="5840E5E1" w:rsidR="005E173B" w:rsidRDefault="004767E4" w:rsidP="00703B0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CBFC56D" w14:textId="3E15424E" w:rsidR="004767E4" w:rsidRDefault="004767E4" w:rsidP="00703B0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20DE66B" w14:textId="3757E8CB" w:rsidR="003E7846" w:rsidRDefault="003E7846" w:rsidP="00703B0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</w:t>
            </w:r>
            <w:r w:rsidR="004767E4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zinonimák és </w:t>
            </w:r>
            <w:proofErr w:type="spellStart"/>
            <w:r w:rsidR="004767E4">
              <w:rPr>
                <w:rFonts w:eastAsia="Calibri" w:cs="Times New Roman"/>
                <w:color w:val="000000"/>
                <w:sz w:val="20"/>
                <w:lang w:eastAsia="hu-HU"/>
              </w:rPr>
              <w:t>antonimák</w:t>
            </w:r>
            <w:proofErr w:type="spellEnd"/>
            <w:r w:rsidR="004767E4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gyűjtése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; szavak csoportosítása a hangalak és a jelentés viszonya alapján</w:t>
            </w:r>
          </w:p>
          <w:p w14:paraId="0D44DFAA" w14:textId="77777777" w:rsidR="003E7846" w:rsidRDefault="003E7846" w:rsidP="00703B0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63DAD452" w14:textId="22F152EB" w:rsidR="004767E4" w:rsidRPr="0000594E" w:rsidRDefault="004767E4" w:rsidP="00703B00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13766C" w:rsidRPr="001865CF" w14:paraId="5A0A1DF5" w14:textId="77777777" w:rsidTr="009A678A">
        <w:trPr>
          <w:trHeight w:val="70"/>
        </w:trPr>
        <w:tc>
          <w:tcPr>
            <w:tcW w:w="988" w:type="dxa"/>
            <w:vAlign w:val="center"/>
          </w:tcPr>
          <w:p w14:paraId="549885F0" w14:textId="34677909" w:rsidR="0013766C" w:rsidRDefault="0013766C" w:rsidP="001376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A572698" w14:textId="77777777" w:rsidR="0013766C" w:rsidRDefault="0013766C" w:rsidP="0013766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szóképek</w:t>
            </w:r>
          </w:p>
        </w:tc>
        <w:tc>
          <w:tcPr>
            <w:tcW w:w="3261" w:type="dxa"/>
          </w:tcPr>
          <w:p w14:paraId="7C709053" w14:textId="77777777" w:rsidR="0013766C" w:rsidRPr="001865CF" w:rsidRDefault="0013766C" w:rsidP="0013766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stíluseszköz, trópus; hasonlat, hasonlított, hasonló; metafora, névátvitel, teljes metafora, fogalmi sík, képi sík, csonka (egytagú) metafora, főnévi metafora, melléknévi metafora, mel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léknévi igenévi metafora, igei metafora; megszemélyesítés; szinesztézia; metonímia, térbeli metonímia, időbeli metonímia,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anyagbeli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metonímia; szinekdoché; komplex kép, allegória, szimbólum</w:t>
            </w:r>
          </w:p>
        </w:tc>
        <w:tc>
          <w:tcPr>
            <w:tcW w:w="5244" w:type="dxa"/>
          </w:tcPr>
          <w:p w14:paraId="055DAAC7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 szerepének tudatosítása</w:t>
            </w:r>
          </w:p>
          <w:p w14:paraId="756D5A0C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7F2482AE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stílusérték</w:t>
            </w:r>
          </w:p>
          <w:p w14:paraId="36B64506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0982BBBE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Stílusgyakorlatok</w:t>
            </w:r>
          </w:p>
          <w:p w14:paraId="77692337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778E1DB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137D3F31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 xml:space="preserve">A mindennapi kommunikáció gyakori metaforikus kifejezéseinek és használati körének </w:t>
            </w:r>
          </w:p>
          <w:p w14:paraId="46EDE9DB" w14:textId="77777777" w:rsidR="0013766C" w:rsidRPr="00BE78D6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30315319" w14:textId="77777777" w:rsidR="0013766C" w:rsidRPr="00921E72" w:rsidRDefault="0013766C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6F4DA611" w14:textId="77777777" w:rsidR="00921E72" w:rsidRPr="00A3730D" w:rsidRDefault="00921E72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10E8DF07" w14:textId="77777777" w:rsidR="00A3730D" w:rsidRPr="00A3730D" w:rsidRDefault="00A3730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Az önálló jegyzetelés fejlesztése</w:t>
            </w:r>
          </w:p>
          <w:p w14:paraId="50C0C4F7" w14:textId="77777777" w:rsidR="00A3730D" w:rsidRPr="00BE78D6" w:rsidRDefault="00A3730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gondolkodás fejlesztése</w:t>
            </w:r>
          </w:p>
        </w:tc>
        <w:tc>
          <w:tcPr>
            <w:tcW w:w="2694" w:type="dxa"/>
          </w:tcPr>
          <w:p w14:paraId="22892F03" w14:textId="77777777" w:rsidR="0013766C" w:rsidRDefault="00841DBF" w:rsidP="00841DB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08CDE9E8" w14:textId="77777777" w:rsidR="00841DBF" w:rsidRDefault="00841DBF" w:rsidP="00841DB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Szóképek elemzése szépirodalmi és köznyelvi szövegekben</w:t>
            </w:r>
          </w:p>
          <w:p w14:paraId="44AC45FA" w14:textId="77777777" w:rsidR="00841DBF" w:rsidRDefault="00841DBF" w:rsidP="00841DB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Csoportmunka: dalszövegek stíluseszközeinek vizsgálata, kvízkészítés</w:t>
            </w:r>
          </w:p>
          <w:p w14:paraId="0E512521" w14:textId="239992C8" w:rsidR="00841DBF" w:rsidRPr="0000594E" w:rsidRDefault="00841DBF" w:rsidP="00841DBF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szóképek felismerése és értelmezése szépirodalmi és köznyelvi szövegrészletekben</w:t>
            </w:r>
          </w:p>
        </w:tc>
      </w:tr>
      <w:tr w:rsidR="00FF3C4B" w:rsidRPr="001865CF" w14:paraId="2B22CDA3" w14:textId="77777777" w:rsidTr="009A678A">
        <w:trPr>
          <w:trHeight w:val="70"/>
        </w:trPr>
        <w:tc>
          <w:tcPr>
            <w:tcW w:w="988" w:type="dxa"/>
            <w:vAlign w:val="center"/>
          </w:tcPr>
          <w:p w14:paraId="512C17F8" w14:textId="58EEC7E8" w:rsidR="00FF3C4B" w:rsidRDefault="00FF3C4B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FB64C3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3A06860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alakzatok</w:t>
            </w:r>
          </w:p>
        </w:tc>
        <w:tc>
          <w:tcPr>
            <w:tcW w:w="3261" w:type="dxa"/>
          </w:tcPr>
          <w:p w14:paraId="5BD0F833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ellpiszis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(kihagyás), költői kérdés, késleltetés, kötőszóhiány; ismétlés, anafora, alliteráció, figura </w:t>
            </w:r>
            <w:proofErr w:type="spellStart"/>
            <w:r>
              <w:rPr>
                <w:rFonts w:cs="Times New Roman"/>
                <w:sz w:val="20"/>
                <w:szCs w:val="20"/>
              </w:rPr>
              <w:t>etymologica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(tőismétlés); rím, tiszta rím, toldalékrím,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önrím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páros rím, hármas rím, bokorrím, félrím, keresztrím, ölelkező rím, visszatérő rím, ráütő rím, farkas rím,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tercinarím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refrén, variáns, keret; párhuzam, gondolatritmus; felsorolás, halmozás, kötőszóhalmozás, kötőszóismétlés, fokozás; ellentét paradoxon, </w:t>
            </w:r>
            <w:proofErr w:type="spellStart"/>
            <w:r>
              <w:rPr>
                <w:rFonts w:cs="Times New Roman"/>
                <w:sz w:val="20"/>
                <w:szCs w:val="20"/>
              </w:rPr>
              <w:t>oximoron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enjambement (áthajlás); eufemizmus,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kakofemizmus</w:t>
            </w:r>
            <w:proofErr w:type="spellEnd"/>
            <w:r>
              <w:rPr>
                <w:rFonts w:cs="Times New Roman"/>
                <w:sz w:val="20"/>
                <w:szCs w:val="20"/>
              </w:rPr>
              <w:t>; túlzás (hiperbola), gúny, szarkazmus (maró gúny); stílusparódia, irodalmi karikatúra</w:t>
            </w:r>
          </w:p>
        </w:tc>
        <w:tc>
          <w:tcPr>
            <w:tcW w:w="5244" w:type="dxa"/>
          </w:tcPr>
          <w:p w14:paraId="7ACEA7BF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50647D1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3CFDF976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stílusérték</w:t>
            </w:r>
          </w:p>
          <w:p w14:paraId="76580A37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2A8CE4D4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7A3374CD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14C9DF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6F912AFA" w14:textId="77777777" w:rsidR="00FF3C4B" w:rsidRPr="00BE78D6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2F2AB727" w14:textId="77777777" w:rsidR="00FF3C4B" w:rsidRPr="00646301" w:rsidRDefault="00FF3C4B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4C1103D" w14:textId="77777777" w:rsidR="00921E72" w:rsidRPr="00A3730D" w:rsidRDefault="0064630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D98A90F" w14:textId="77777777" w:rsidR="00A3730D" w:rsidRPr="00A3730D" w:rsidRDefault="00A3730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Az önálló jegyzetelés fejlesztése</w:t>
            </w:r>
          </w:p>
          <w:p w14:paraId="749A876D" w14:textId="77777777" w:rsidR="00A3730D" w:rsidRPr="00BE78D6" w:rsidRDefault="00A3730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gondolkodás fejlesztése</w:t>
            </w:r>
          </w:p>
        </w:tc>
        <w:tc>
          <w:tcPr>
            <w:tcW w:w="2694" w:type="dxa"/>
          </w:tcPr>
          <w:p w14:paraId="19220EA7" w14:textId="77777777" w:rsidR="002A0D8C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A98C91A" w14:textId="75B4DE2B" w:rsidR="002A0D8C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Alakzatok elemzése szépirodalmi és köznyelvi szövegekben</w:t>
            </w:r>
          </w:p>
          <w:p w14:paraId="6267B945" w14:textId="65036E42" w:rsidR="002A0D8C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Szituációs játék</w:t>
            </w:r>
          </w:p>
          <w:p w14:paraId="674A5EC6" w14:textId="0591B1D0" w:rsidR="00FF3C4B" w:rsidRPr="0000594E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alakzatok felismerése és értelmezése szépirodalmi és köznyelvi szövegrészletekben</w:t>
            </w:r>
          </w:p>
        </w:tc>
      </w:tr>
      <w:tr w:rsidR="00FF3C4B" w:rsidRPr="001865CF" w14:paraId="23343118" w14:textId="77777777" w:rsidTr="009A678A">
        <w:trPr>
          <w:trHeight w:val="70"/>
        </w:trPr>
        <w:tc>
          <w:tcPr>
            <w:tcW w:w="988" w:type="dxa"/>
            <w:vAlign w:val="center"/>
          </w:tcPr>
          <w:p w14:paraId="7137BBC8" w14:textId="23EEF39D" w:rsidR="00FF3C4B" w:rsidRDefault="00FF3C4B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22BD222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3261" w:type="dxa"/>
          </w:tcPr>
          <w:p w14:paraId="66291A2C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1DDF030" w14:textId="01C8AFB3" w:rsidR="00A3730D" w:rsidRPr="004349AC" w:rsidRDefault="00A3730D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34EA08C0" w14:textId="77777777" w:rsidR="004349AC" w:rsidRDefault="00A3730D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1E80ECCD" w14:textId="4145FC3A" w:rsidR="00FF3C4B" w:rsidRPr="004349AC" w:rsidRDefault="00A3730D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2694" w:type="dxa"/>
          </w:tcPr>
          <w:p w14:paraId="2A60A68B" w14:textId="77777777" w:rsidR="00FF3C4B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309349C" w14:textId="3D77327D" w:rsidR="002A0D8C" w:rsidRPr="0000594E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FF3C4B" w:rsidRPr="001865CF" w14:paraId="6EDD9957" w14:textId="77777777" w:rsidTr="009A678A">
        <w:trPr>
          <w:trHeight w:val="7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44C3931" w14:textId="46E33980" w:rsidR="00FF3C4B" w:rsidRDefault="00FF3C4B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B3ACD9E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 dolgozat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9EEDE72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BD89029" w14:textId="77777777" w:rsidR="00FF3C4B" w:rsidRPr="004349AC" w:rsidRDefault="00811D07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tanultak elsajátításának ellenőrzése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1F3914" w14:textId="47503F51" w:rsidR="00FF3C4B" w:rsidRPr="0000594E" w:rsidRDefault="002A0D8C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FF3C4B" w:rsidRPr="001865CF" w14:paraId="1E1A1AAD" w14:textId="77777777" w:rsidTr="00976BEE">
        <w:trPr>
          <w:trHeight w:val="485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650A015" w14:textId="77777777" w:rsidR="00FF3C4B" w:rsidRPr="004349AC" w:rsidRDefault="00FF3C4B" w:rsidP="003D239F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lastRenderedPageBreak/>
              <w:t>IV. Helyesírásunk</w:t>
            </w:r>
          </w:p>
        </w:tc>
      </w:tr>
      <w:tr w:rsidR="00FF3C4B" w:rsidRPr="001865CF" w14:paraId="0EF26A55" w14:textId="77777777" w:rsidTr="009A678A">
        <w:trPr>
          <w:trHeight w:val="70"/>
        </w:trPr>
        <w:tc>
          <w:tcPr>
            <w:tcW w:w="988" w:type="dxa"/>
            <w:vAlign w:val="center"/>
          </w:tcPr>
          <w:p w14:paraId="6A7E188A" w14:textId="27E23ED9" w:rsidR="00FF3C4B" w:rsidRDefault="00FF3C4B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B64C3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2806118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magyar helyesírás</w:t>
            </w:r>
          </w:p>
        </w:tc>
        <w:tc>
          <w:tcPr>
            <w:tcW w:w="3261" w:type="dxa"/>
          </w:tcPr>
          <w:p w14:paraId="12198BF8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betűíró, latin betűs, hangjelölő, értelemtükröző helyesírás; helyesírási alapelvek, kiejtés szerinti írásmód, szóelemző írásmód, hagyományos írásmód, egyszerűsítő írásmód</w:t>
            </w:r>
          </w:p>
        </w:tc>
        <w:tc>
          <w:tcPr>
            <w:tcW w:w="5244" w:type="dxa"/>
          </w:tcPr>
          <w:p w14:paraId="791B700D" w14:textId="77777777" w:rsidR="00E52537" w:rsidRPr="00E52537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CA69417" w14:textId="77777777" w:rsidR="00FF3C4B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0D8C0974" w14:textId="77777777" w:rsidR="00930C8D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0536B79" w14:textId="77777777" w:rsidR="00930C8D" w:rsidRPr="00E52537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0D40D1D2" w14:textId="77777777" w:rsidR="00FF3C4B" w:rsidRDefault="00297869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913E121" w14:textId="77777777" w:rsidR="00297869" w:rsidRDefault="004E1127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2B4EF3F9" w14:textId="35714496" w:rsidR="004E1127" w:rsidRPr="0000594E" w:rsidRDefault="004E1127" w:rsidP="002A0D8C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(ismerkedés a magyar helyesírás kézikönyveivel és a Magyar Tudományos Akadémia helyesírási portáljával)</w:t>
            </w:r>
          </w:p>
        </w:tc>
      </w:tr>
      <w:tr w:rsidR="00FF3C4B" w:rsidRPr="001865CF" w14:paraId="2A2F7EB9" w14:textId="77777777" w:rsidTr="009A678A">
        <w:trPr>
          <w:trHeight w:val="70"/>
        </w:trPr>
        <w:tc>
          <w:tcPr>
            <w:tcW w:w="988" w:type="dxa"/>
            <w:vAlign w:val="center"/>
          </w:tcPr>
          <w:p w14:paraId="04E5EE50" w14:textId="4A8D1C9E" w:rsidR="00FF3C4B" w:rsidRDefault="00FB64C3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FF3C4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3F425B8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Helyesírásunk alapelvei</w:t>
            </w:r>
          </w:p>
        </w:tc>
        <w:tc>
          <w:tcPr>
            <w:tcW w:w="3261" w:type="dxa"/>
          </w:tcPr>
          <w:p w14:paraId="4857AF3A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mássalhangzók időtartamának jelölése, többjegyű betűk kettőzése</w:t>
            </w:r>
          </w:p>
        </w:tc>
        <w:tc>
          <w:tcPr>
            <w:tcW w:w="5244" w:type="dxa"/>
          </w:tcPr>
          <w:p w14:paraId="66EA246D" w14:textId="77777777" w:rsidR="00E52537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3F845A11" w14:textId="77777777" w:rsidR="00FF3C4B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53800A4D" w14:textId="77777777" w:rsidR="00930C8D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2181ACA" w14:textId="77777777" w:rsidR="00930C8D" w:rsidRPr="00E52537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0BA9A778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68A5D12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21C8AA06" w14:textId="43FE251B" w:rsidR="00FF3C4B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Tudományos Akadémia helyesírási portáljának használatával)</w:t>
            </w:r>
          </w:p>
        </w:tc>
      </w:tr>
      <w:tr w:rsidR="00FF3C4B" w:rsidRPr="001865CF" w14:paraId="61553822" w14:textId="77777777" w:rsidTr="009A678A">
        <w:trPr>
          <w:trHeight w:val="70"/>
        </w:trPr>
        <w:tc>
          <w:tcPr>
            <w:tcW w:w="988" w:type="dxa"/>
            <w:vAlign w:val="center"/>
          </w:tcPr>
          <w:p w14:paraId="7B1D512D" w14:textId="7F34ED4F" w:rsidR="00FF3C4B" w:rsidRDefault="00FF3C4B" w:rsidP="00FF3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B64C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EC0209D" w14:textId="77777777" w:rsidR="00FF3C4B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Külön, egybe vagy kötőjellel?</w:t>
            </w:r>
          </w:p>
        </w:tc>
        <w:tc>
          <w:tcPr>
            <w:tcW w:w="3261" w:type="dxa"/>
          </w:tcPr>
          <w:p w14:paraId="1BAFE4DB" w14:textId="77777777" w:rsidR="00FF3C4B" w:rsidRPr="001865CF" w:rsidRDefault="00FF3C4B" w:rsidP="00FF3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egybeírás, különírás, kötőjeles írás, 6:3-as szabály, számnévi jelzős szerkezet, anyagnévi jelzős szerkezet, melléknévi igeneves szerkezet</w:t>
            </w:r>
          </w:p>
        </w:tc>
        <w:tc>
          <w:tcPr>
            <w:tcW w:w="5244" w:type="dxa"/>
          </w:tcPr>
          <w:p w14:paraId="45EB536A" w14:textId="77777777" w:rsidR="00E52537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FEBE9A3" w14:textId="77777777" w:rsidR="00FF3C4B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486F1424" w14:textId="77777777" w:rsidR="00930C8D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86481B7" w14:textId="77777777" w:rsidR="00930C8D" w:rsidRPr="00E52537" w:rsidRDefault="00930C8D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4C825418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EE10026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72D1451C" w14:textId="58CF8D11" w:rsidR="00FF3C4B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Tudományos Akadémia helyesírási portáljának használatával)</w:t>
            </w:r>
          </w:p>
        </w:tc>
      </w:tr>
      <w:tr w:rsidR="004E1127" w:rsidRPr="001865CF" w14:paraId="3774510A" w14:textId="77777777" w:rsidTr="009A678A">
        <w:trPr>
          <w:trHeight w:val="70"/>
        </w:trPr>
        <w:tc>
          <w:tcPr>
            <w:tcW w:w="988" w:type="dxa"/>
            <w:vAlign w:val="center"/>
          </w:tcPr>
          <w:p w14:paraId="1D575F06" w14:textId="6A0FFC32" w:rsidR="004E1127" w:rsidRDefault="004E1127" w:rsidP="004E11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B64C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BE52785" w14:textId="77777777" w:rsidR="004E1127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kezdőbetű</w:t>
            </w:r>
          </w:p>
        </w:tc>
        <w:tc>
          <w:tcPr>
            <w:tcW w:w="3261" w:type="dxa"/>
          </w:tcPr>
          <w:p w14:paraId="6129F7F3" w14:textId="77777777" w:rsidR="004E1127" w:rsidRPr="001865CF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mondatkezdő nagybetű, betűrendbe sorolás</w:t>
            </w:r>
          </w:p>
        </w:tc>
        <w:tc>
          <w:tcPr>
            <w:tcW w:w="5244" w:type="dxa"/>
          </w:tcPr>
          <w:p w14:paraId="221A0EEE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CBB7848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1F02485C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59EC1F9" w14:textId="77777777" w:rsidR="004E1127" w:rsidRPr="00E5253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0B4CC679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B66BE91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26842B0D" w14:textId="4FA97367" w:rsidR="004E1127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dományos Akadémia helyesírási portáljának használatával)</w:t>
            </w:r>
          </w:p>
        </w:tc>
      </w:tr>
      <w:tr w:rsidR="004E1127" w:rsidRPr="001865CF" w14:paraId="271399B2" w14:textId="77777777" w:rsidTr="009A678A">
        <w:trPr>
          <w:trHeight w:val="70"/>
        </w:trPr>
        <w:tc>
          <w:tcPr>
            <w:tcW w:w="988" w:type="dxa"/>
            <w:vAlign w:val="center"/>
          </w:tcPr>
          <w:p w14:paraId="0455B2C5" w14:textId="12B17725" w:rsidR="004E1127" w:rsidRDefault="004E1127" w:rsidP="004E11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B64C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6B7E3A4" w14:textId="77777777" w:rsidR="004E1127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idegen szavak és nevek helyesírása</w:t>
            </w:r>
          </w:p>
        </w:tc>
        <w:tc>
          <w:tcPr>
            <w:tcW w:w="3261" w:type="dxa"/>
          </w:tcPr>
          <w:p w14:paraId="37A4EDA2" w14:textId="3FBF7325" w:rsidR="004E1127" w:rsidRPr="001865CF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idegen szó, jövevényszó, néma betű </w:t>
            </w:r>
          </w:p>
        </w:tc>
        <w:tc>
          <w:tcPr>
            <w:tcW w:w="5244" w:type="dxa"/>
          </w:tcPr>
          <w:p w14:paraId="4D3D3EA3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198C470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1CB4D2A2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60015170" w14:textId="77777777" w:rsidR="004E1127" w:rsidRPr="00E5253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32BD0F22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9FA6797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2D9E258F" w14:textId="3664D656" w:rsidR="004E1127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Tudományos Akadémia helyesírási portáljának használatával)</w:t>
            </w:r>
          </w:p>
        </w:tc>
      </w:tr>
      <w:tr w:rsidR="004E1127" w:rsidRPr="001865CF" w14:paraId="5957E5E2" w14:textId="77777777" w:rsidTr="009A678A">
        <w:trPr>
          <w:trHeight w:val="70"/>
        </w:trPr>
        <w:tc>
          <w:tcPr>
            <w:tcW w:w="988" w:type="dxa"/>
            <w:vAlign w:val="center"/>
          </w:tcPr>
          <w:p w14:paraId="35FC04BA" w14:textId="2183B18E" w:rsidR="004E1127" w:rsidRDefault="004E1127" w:rsidP="004E11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B64C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04E1CDA" w14:textId="77777777" w:rsidR="004E1127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írásjelek és az elválasztás</w:t>
            </w:r>
          </w:p>
        </w:tc>
        <w:tc>
          <w:tcPr>
            <w:tcW w:w="3261" w:type="dxa"/>
          </w:tcPr>
          <w:p w14:paraId="6FB5A365" w14:textId="77777777" w:rsidR="004E1127" w:rsidRPr="001865CF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mondatvégi írásjel, páros kötőszó, vessző, kettőspont, pontosvessző, kötőjel, nagykötőjel, gondolatjel, idézőjel, elválasztás, szótagolás</w:t>
            </w:r>
          </w:p>
        </w:tc>
        <w:tc>
          <w:tcPr>
            <w:tcW w:w="5244" w:type="dxa"/>
          </w:tcPr>
          <w:p w14:paraId="264A4F7B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BD7E9D8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7532B3DF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52B58E4" w14:textId="77777777" w:rsidR="004E1127" w:rsidRPr="00E5253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557F69D9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40C840C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5AFDE570" w14:textId="3F328E83" w:rsidR="004E1127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Tudományos Akadémia helyesírási portáljának használatával)</w:t>
            </w:r>
          </w:p>
        </w:tc>
      </w:tr>
      <w:tr w:rsidR="004E1127" w:rsidRPr="001865CF" w14:paraId="10007613" w14:textId="77777777" w:rsidTr="009A678A">
        <w:trPr>
          <w:trHeight w:val="70"/>
        </w:trPr>
        <w:tc>
          <w:tcPr>
            <w:tcW w:w="988" w:type="dxa"/>
            <w:vAlign w:val="center"/>
          </w:tcPr>
          <w:p w14:paraId="1C1AF408" w14:textId="1FA1A71A" w:rsidR="004E1127" w:rsidRDefault="004E1127" w:rsidP="004E11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B64C3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110A415" w14:textId="77777777" w:rsidR="004E1127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rövidítések, jelek, mozaikszók és számok helyesírása</w:t>
            </w:r>
          </w:p>
        </w:tc>
        <w:tc>
          <w:tcPr>
            <w:tcW w:w="3261" w:type="dxa"/>
          </w:tcPr>
          <w:p w14:paraId="067396EB" w14:textId="77777777" w:rsidR="004E1127" w:rsidRPr="001865CF" w:rsidRDefault="004E1127" w:rsidP="004E11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rövidítés, jel, mozaikszó, betűszó, tulajdonnévi betűszó, köznévi betűszó, szóösszevonás</w:t>
            </w:r>
          </w:p>
        </w:tc>
        <w:tc>
          <w:tcPr>
            <w:tcW w:w="5244" w:type="dxa"/>
          </w:tcPr>
          <w:p w14:paraId="1B716E52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9A1F510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05434646" w14:textId="77777777" w:rsidR="004E112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0EBAEA5" w14:textId="77777777" w:rsidR="004E1127" w:rsidRPr="00E52537" w:rsidRDefault="004E1127" w:rsidP="004E1127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2694" w:type="dxa"/>
          </w:tcPr>
          <w:p w14:paraId="1191FC61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288BBEFA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  <w:p w14:paraId="6C97A0CB" w14:textId="142A36F8" w:rsidR="004E1127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helyesírási gyakorlatok; egyéni kutatómunka (a magyar helyesírás kézikönyveinek és a Magyar Tudományos Akadémia helyesírási portáljának használatával)</w:t>
            </w:r>
          </w:p>
        </w:tc>
      </w:tr>
      <w:tr w:rsidR="00E52537" w:rsidRPr="001865CF" w14:paraId="3FB8BA0B" w14:textId="77777777" w:rsidTr="009A678A">
        <w:trPr>
          <w:trHeight w:val="70"/>
        </w:trPr>
        <w:tc>
          <w:tcPr>
            <w:tcW w:w="988" w:type="dxa"/>
            <w:vAlign w:val="center"/>
          </w:tcPr>
          <w:p w14:paraId="7CBE6C53" w14:textId="2EDEBC52" w:rsidR="00E52537" w:rsidRDefault="00E52537" w:rsidP="00E525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B64C3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04E998D" w14:textId="77777777" w:rsidR="00E52537" w:rsidRDefault="00E52537" w:rsidP="00E5253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Összefoglalás, gyakorlás; tanév végi értékelés</w:t>
            </w:r>
          </w:p>
        </w:tc>
        <w:tc>
          <w:tcPr>
            <w:tcW w:w="3261" w:type="dxa"/>
          </w:tcPr>
          <w:p w14:paraId="52657131" w14:textId="77777777" w:rsidR="00E52537" w:rsidRPr="001865CF" w:rsidRDefault="00E52537" w:rsidP="00E5253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8B43CC5" w14:textId="77777777" w:rsidR="00E52537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58C0E7B" w14:textId="77777777" w:rsidR="00E52537" w:rsidRDefault="00E52537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52537">
              <w:rPr>
                <w:rFonts w:cs="Times New Roman"/>
                <w:sz w:val="20"/>
                <w:szCs w:val="20"/>
              </w:rPr>
              <w:t>Helyesírási szótárak használatának tudatosítása</w:t>
            </w:r>
          </w:p>
          <w:p w14:paraId="7914785F" w14:textId="77777777" w:rsidR="00930C8D" w:rsidRPr="004349AC" w:rsidRDefault="00930C8D" w:rsidP="004349AC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215ABFBC" w14:textId="77777777" w:rsidR="00930C8D" w:rsidRPr="00E52537" w:rsidRDefault="007734C1" w:rsidP="004349AC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tanulók teljesítményének értékelése</w:t>
            </w:r>
          </w:p>
        </w:tc>
        <w:tc>
          <w:tcPr>
            <w:tcW w:w="2694" w:type="dxa"/>
          </w:tcPr>
          <w:p w14:paraId="4AC44A0A" w14:textId="77777777" w:rsidR="00E5253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29C21905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AAE1E2E" w14:textId="77777777" w:rsidR="004E1127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317A6671" w14:textId="3812BC5E" w:rsidR="004E1127" w:rsidRPr="0000594E" w:rsidRDefault="004E1127" w:rsidP="004E1127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</w:tc>
      </w:tr>
    </w:tbl>
    <w:p w14:paraId="2A77B71B" w14:textId="468A1F65" w:rsidR="00A56BDE" w:rsidRDefault="00A56BDE" w:rsidP="005378BD">
      <w:pPr>
        <w:rPr>
          <w:rFonts w:cs="Times New Roman"/>
          <w:b/>
          <w:sz w:val="20"/>
          <w:szCs w:val="20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F71F23" w:rsidRPr="006E0EED" w14:paraId="02401511" w14:textId="77777777" w:rsidTr="00A50C58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35C2D3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lastRenderedPageBreak/>
              <w:t>Jóváhagyási záradék</w:t>
            </w:r>
          </w:p>
        </w:tc>
      </w:tr>
      <w:tr w:rsidR="00F71F23" w:rsidRPr="006E0EED" w14:paraId="33BE5EA4" w14:textId="77777777" w:rsidTr="00A50C58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F74DE7A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187DC17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413532C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46A795A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F71F23" w:rsidRPr="006E0EED" w14:paraId="4F3CD2B7" w14:textId="77777777" w:rsidTr="0020615E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1979D" w14:textId="77777777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2021/2022.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23A4D" w14:textId="639DBB82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10.D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374C3" w14:textId="77777777" w:rsidR="00F71F23" w:rsidRPr="006E0EED" w:rsidRDefault="00F71F23" w:rsidP="00A50C58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3400C" w14:textId="0C6DAED9" w:rsidR="00F71F23" w:rsidRPr="006E0EED" w:rsidRDefault="00F71F23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20615E" w:rsidRPr="006E0EED" w14:paraId="6CA3D882" w14:textId="77777777" w:rsidTr="00A50C58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B3D23" w14:textId="5F7CED64" w:rsidR="0020615E" w:rsidRDefault="0020615E" w:rsidP="00A50C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56346" w14:textId="71A23EA0" w:rsidR="0020615E" w:rsidRDefault="0020615E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10.D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E3C24" w14:textId="15F1791B" w:rsidR="0020615E" w:rsidRDefault="0020615E" w:rsidP="00A50C58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5DE09" w14:textId="4C43138B" w:rsidR="0020615E" w:rsidRPr="006E0EED" w:rsidRDefault="00B60085" w:rsidP="00A50C5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</w:t>
            </w:r>
          </w:p>
        </w:tc>
      </w:tr>
    </w:tbl>
    <w:p w14:paraId="3BE35290" w14:textId="77777777" w:rsidR="00F71F23" w:rsidRDefault="00F71F23" w:rsidP="005378BD">
      <w:pPr>
        <w:rPr>
          <w:rFonts w:cs="Times New Roman"/>
          <w:b/>
          <w:sz w:val="20"/>
          <w:szCs w:val="20"/>
        </w:rPr>
      </w:pPr>
    </w:p>
    <w:sectPr w:rsidR="00F71F23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0CB2" w14:textId="77777777" w:rsidR="0056208B" w:rsidRDefault="0056208B" w:rsidP="00A56BDE">
      <w:r>
        <w:separator/>
      </w:r>
    </w:p>
  </w:endnote>
  <w:endnote w:type="continuationSeparator" w:id="0">
    <w:p w14:paraId="15972375" w14:textId="77777777" w:rsidR="0056208B" w:rsidRDefault="0056208B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FFD5" w14:textId="77777777" w:rsidR="0056208B" w:rsidRDefault="0056208B" w:rsidP="00A56BDE">
      <w:r>
        <w:separator/>
      </w:r>
    </w:p>
  </w:footnote>
  <w:footnote w:type="continuationSeparator" w:id="0">
    <w:p w14:paraId="0D3A7625" w14:textId="77777777" w:rsidR="0056208B" w:rsidRDefault="0056208B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61CC"/>
    <w:multiLevelType w:val="hybridMultilevel"/>
    <w:tmpl w:val="161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0EB42">
      <w:start w:val="3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130"/>
    <w:multiLevelType w:val="hybridMultilevel"/>
    <w:tmpl w:val="B3DEEC8A"/>
    <w:lvl w:ilvl="0" w:tplc="313AC522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45F4"/>
    <w:multiLevelType w:val="hybridMultilevel"/>
    <w:tmpl w:val="AED4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6461"/>
    <w:multiLevelType w:val="hybridMultilevel"/>
    <w:tmpl w:val="DBEC6D2C"/>
    <w:lvl w:ilvl="0" w:tplc="5E0A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0B13"/>
    <w:multiLevelType w:val="hybridMultilevel"/>
    <w:tmpl w:val="1464B766"/>
    <w:lvl w:ilvl="0" w:tplc="907436B4">
      <w:start w:val="3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4031">
    <w:abstractNumId w:val="2"/>
  </w:num>
  <w:num w:numId="2" w16cid:durableId="1336228820">
    <w:abstractNumId w:val="4"/>
  </w:num>
  <w:num w:numId="3" w16cid:durableId="500392245">
    <w:abstractNumId w:val="12"/>
  </w:num>
  <w:num w:numId="4" w16cid:durableId="606667214">
    <w:abstractNumId w:val="9"/>
  </w:num>
  <w:num w:numId="5" w16cid:durableId="1028482814">
    <w:abstractNumId w:val="10"/>
  </w:num>
  <w:num w:numId="6" w16cid:durableId="1507668413">
    <w:abstractNumId w:val="11"/>
  </w:num>
  <w:num w:numId="7" w16cid:durableId="133521856">
    <w:abstractNumId w:val="6"/>
  </w:num>
  <w:num w:numId="8" w16cid:durableId="1469739221">
    <w:abstractNumId w:val="0"/>
  </w:num>
  <w:num w:numId="9" w16cid:durableId="1625429800">
    <w:abstractNumId w:val="3"/>
  </w:num>
  <w:num w:numId="10" w16cid:durableId="1629429650">
    <w:abstractNumId w:val="1"/>
  </w:num>
  <w:num w:numId="11" w16cid:durableId="1155873457">
    <w:abstractNumId w:val="8"/>
  </w:num>
  <w:num w:numId="12" w16cid:durableId="1741518139">
    <w:abstractNumId w:val="7"/>
  </w:num>
  <w:num w:numId="13" w16cid:durableId="474572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41E2"/>
    <w:rsid w:val="0000594E"/>
    <w:rsid w:val="00014D76"/>
    <w:rsid w:val="0001578B"/>
    <w:rsid w:val="00030E63"/>
    <w:rsid w:val="00031A75"/>
    <w:rsid w:val="00037476"/>
    <w:rsid w:val="000538E3"/>
    <w:rsid w:val="0005438E"/>
    <w:rsid w:val="00056320"/>
    <w:rsid w:val="00094AC4"/>
    <w:rsid w:val="0009551B"/>
    <w:rsid w:val="000A584D"/>
    <w:rsid w:val="000C662A"/>
    <w:rsid w:val="000D066E"/>
    <w:rsid w:val="000E16FD"/>
    <w:rsid w:val="000E6973"/>
    <w:rsid w:val="000F6F70"/>
    <w:rsid w:val="00116F91"/>
    <w:rsid w:val="001306D3"/>
    <w:rsid w:val="0013766C"/>
    <w:rsid w:val="00145F7E"/>
    <w:rsid w:val="001468AC"/>
    <w:rsid w:val="0016134F"/>
    <w:rsid w:val="001810A9"/>
    <w:rsid w:val="0018347E"/>
    <w:rsid w:val="00184F89"/>
    <w:rsid w:val="001865CF"/>
    <w:rsid w:val="001A72CC"/>
    <w:rsid w:val="001B056C"/>
    <w:rsid w:val="001B0D54"/>
    <w:rsid w:val="001D7568"/>
    <w:rsid w:val="001F008C"/>
    <w:rsid w:val="002020B8"/>
    <w:rsid w:val="002035C8"/>
    <w:rsid w:val="0020615E"/>
    <w:rsid w:val="00222397"/>
    <w:rsid w:val="0022735B"/>
    <w:rsid w:val="00276C23"/>
    <w:rsid w:val="00276D62"/>
    <w:rsid w:val="00277F38"/>
    <w:rsid w:val="002868D2"/>
    <w:rsid w:val="00290D38"/>
    <w:rsid w:val="00294495"/>
    <w:rsid w:val="002954CF"/>
    <w:rsid w:val="00295872"/>
    <w:rsid w:val="00297869"/>
    <w:rsid w:val="002A03DC"/>
    <w:rsid w:val="002A0D8C"/>
    <w:rsid w:val="002B740A"/>
    <w:rsid w:val="002C0064"/>
    <w:rsid w:val="002C0486"/>
    <w:rsid w:val="002C33EC"/>
    <w:rsid w:val="002E451E"/>
    <w:rsid w:val="00303E9F"/>
    <w:rsid w:val="0032235D"/>
    <w:rsid w:val="003257E7"/>
    <w:rsid w:val="003308B6"/>
    <w:rsid w:val="00337E9D"/>
    <w:rsid w:val="00340E10"/>
    <w:rsid w:val="0035096B"/>
    <w:rsid w:val="00353592"/>
    <w:rsid w:val="00364A86"/>
    <w:rsid w:val="0037384C"/>
    <w:rsid w:val="00382CC4"/>
    <w:rsid w:val="00386B59"/>
    <w:rsid w:val="003A0C61"/>
    <w:rsid w:val="003A16BE"/>
    <w:rsid w:val="003B3072"/>
    <w:rsid w:val="003B67EF"/>
    <w:rsid w:val="003C2FE1"/>
    <w:rsid w:val="003C4DD0"/>
    <w:rsid w:val="003D239F"/>
    <w:rsid w:val="003E2B0B"/>
    <w:rsid w:val="003E7846"/>
    <w:rsid w:val="004349AC"/>
    <w:rsid w:val="00446FA7"/>
    <w:rsid w:val="00450174"/>
    <w:rsid w:val="00450979"/>
    <w:rsid w:val="00456AC8"/>
    <w:rsid w:val="00461452"/>
    <w:rsid w:val="004767E4"/>
    <w:rsid w:val="004933EC"/>
    <w:rsid w:val="00496B6A"/>
    <w:rsid w:val="004C07C9"/>
    <w:rsid w:val="004E1127"/>
    <w:rsid w:val="004E255D"/>
    <w:rsid w:val="004E3253"/>
    <w:rsid w:val="00507F40"/>
    <w:rsid w:val="00513FF5"/>
    <w:rsid w:val="00535465"/>
    <w:rsid w:val="005371C5"/>
    <w:rsid w:val="005378BD"/>
    <w:rsid w:val="00546454"/>
    <w:rsid w:val="00551748"/>
    <w:rsid w:val="00557C53"/>
    <w:rsid w:val="0056208B"/>
    <w:rsid w:val="00582A21"/>
    <w:rsid w:val="00584F9A"/>
    <w:rsid w:val="00590788"/>
    <w:rsid w:val="005944ED"/>
    <w:rsid w:val="00594616"/>
    <w:rsid w:val="005A1CE4"/>
    <w:rsid w:val="005E173B"/>
    <w:rsid w:val="005E51A1"/>
    <w:rsid w:val="005F53E9"/>
    <w:rsid w:val="00606D1D"/>
    <w:rsid w:val="0062663D"/>
    <w:rsid w:val="00631677"/>
    <w:rsid w:val="006444D6"/>
    <w:rsid w:val="00646153"/>
    <w:rsid w:val="00646301"/>
    <w:rsid w:val="00654BEC"/>
    <w:rsid w:val="0065561C"/>
    <w:rsid w:val="006666F9"/>
    <w:rsid w:val="00684A9A"/>
    <w:rsid w:val="00694898"/>
    <w:rsid w:val="006B09A7"/>
    <w:rsid w:val="006B6036"/>
    <w:rsid w:val="006C0C32"/>
    <w:rsid w:val="006C374D"/>
    <w:rsid w:val="006D0506"/>
    <w:rsid w:val="006D1D05"/>
    <w:rsid w:val="006D290F"/>
    <w:rsid w:val="006E1C8F"/>
    <w:rsid w:val="006F7FA0"/>
    <w:rsid w:val="00703B00"/>
    <w:rsid w:val="00711868"/>
    <w:rsid w:val="00714B53"/>
    <w:rsid w:val="007228F4"/>
    <w:rsid w:val="00723792"/>
    <w:rsid w:val="0072597D"/>
    <w:rsid w:val="00727237"/>
    <w:rsid w:val="007313A2"/>
    <w:rsid w:val="00735025"/>
    <w:rsid w:val="0073614B"/>
    <w:rsid w:val="007610A6"/>
    <w:rsid w:val="00767DCB"/>
    <w:rsid w:val="007715EE"/>
    <w:rsid w:val="007734C1"/>
    <w:rsid w:val="0078311F"/>
    <w:rsid w:val="00790127"/>
    <w:rsid w:val="007B2073"/>
    <w:rsid w:val="007C3EA7"/>
    <w:rsid w:val="007C42DE"/>
    <w:rsid w:val="007C6A31"/>
    <w:rsid w:val="007D1F58"/>
    <w:rsid w:val="007D64ED"/>
    <w:rsid w:val="007D72BA"/>
    <w:rsid w:val="00811D07"/>
    <w:rsid w:val="0082023A"/>
    <w:rsid w:val="00821C1B"/>
    <w:rsid w:val="008244F7"/>
    <w:rsid w:val="00830E6A"/>
    <w:rsid w:val="00841DBF"/>
    <w:rsid w:val="008456E7"/>
    <w:rsid w:val="00847D9E"/>
    <w:rsid w:val="008538FA"/>
    <w:rsid w:val="00860A5E"/>
    <w:rsid w:val="00860F63"/>
    <w:rsid w:val="00864620"/>
    <w:rsid w:val="00871807"/>
    <w:rsid w:val="008A58B4"/>
    <w:rsid w:val="008D4337"/>
    <w:rsid w:val="008D62F4"/>
    <w:rsid w:val="00906C27"/>
    <w:rsid w:val="009142D4"/>
    <w:rsid w:val="00921E72"/>
    <w:rsid w:val="00924DCD"/>
    <w:rsid w:val="00930C8D"/>
    <w:rsid w:val="009347A1"/>
    <w:rsid w:val="009619DB"/>
    <w:rsid w:val="00976BEE"/>
    <w:rsid w:val="00984F28"/>
    <w:rsid w:val="00987925"/>
    <w:rsid w:val="00992D4C"/>
    <w:rsid w:val="00996784"/>
    <w:rsid w:val="009A678A"/>
    <w:rsid w:val="009B22CC"/>
    <w:rsid w:val="009B79C9"/>
    <w:rsid w:val="009C094D"/>
    <w:rsid w:val="009C0CD3"/>
    <w:rsid w:val="009E0DE0"/>
    <w:rsid w:val="009F370A"/>
    <w:rsid w:val="00A01F72"/>
    <w:rsid w:val="00A02BFD"/>
    <w:rsid w:val="00A1395F"/>
    <w:rsid w:val="00A2048E"/>
    <w:rsid w:val="00A3730D"/>
    <w:rsid w:val="00A56BDE"/>
    <w:rsid w:val="00A621A2"/>
    <w:rsid w:val="00A6249E"/>
    <w:rsid w:val="00A65DB3"/>
    <w:rsid w:val="00A76615"/>
    <w:rsid w:val="00A8222B"/>
    <w:rsid w:val="00A93073"/>
    <w:rsid w:val="00AD5F8F"/>
    <w:rsid w:val="00AF4B38"/>
    <w:rsid w:val="00B153E8"/>
    <w:rsid w:val="00B2483D"/>
    <w:rsid w:val="00B303FD"/>
    <w:rsid w:val="00B41BD9"/>
    <w:rsid w:val="00B475B4"/>
    <w:rsid w:val="00B60085"/>
    <w:rsid w:val="00B6496A"/>
    <w:rsid w:val="00B667E8"/>
    <w:rsid w:val="00B71F2C"/>
    <w:rsid w:val="00B85E51"/>
    <w:rsid w:val="00BA62BE"/>
    <w:rsid w:val="00BD1CCD"/>
    <w:rsid w:val="00BD3122"/>
    <w:rsid w:val="00BE3397"/>
    <w:rsid w:val="00BE78D6"/>
    <w:rsid w:val="00BF1717"/>
    <w:rsid w:val="00BF1787"/>
    <w:rsid w:val="00BF624B"/>
    <w:rsid w:val="00C21CD8"/>
    <w:rsid w:val="00C26182"/>
    <w:rsid w:val="00C3715B"/>
    <w:rsid w:val="00C43E7C"/>
    <w:rsid w:val="00C520F1"/>
    <w:rsid w:val="00C5709B"/>
    <w:rsid w:val="00C61D59"/>
    <w:rsid w:val="00C734D1"/>
    <w:rsid w:val="00C82B37"/>
    <w:rsid w:val="00C873D9"/>
    <w:rsid w:val="00CA0376"/>
    <w:rsid w:val="00CA50F5"/>
    <w:rsid w:val="00CB0F75"/>
    <w:rsid w:val="00CE0704"/>
    <w:rsid w:val="00CE1091"/>
    <w:rsid w:val="00CE29DD"/>
    <w:rsid w:val="00CF0D4E"/>
    <w:rsid w:val="00CF6A7E"/>
    <w:rsid w:val="00D16EA9"/>
    <w:rsid w:val="00D260A1"/>
    <w:rsid w:val="00D30285"/>
    <w:rsid w:val="00D33914"/>
    <w:rsid w:val="00D36A96"/>
    <w:rsid w:val="00D4416D"/>
    <w:rsid w:val="00D56DA5"/>
    <w:rsid w:val="00D6485F"/>
    <w:rsid w:val="00D75FE2"/>
    <w:rsid w:val="00D763DF"/>
    <w:rsid w:val="00D81B29"/>
    <w:rsid w:val="00D81E11"/>
    <w:rsid w:val="00D82D8E"/>
    <w:rsid w:val="00DA0CEA"/>
    <w:rsid w:val="00DA20BB"/>
    <w:rsid w:val="00DB5E5B"/>
    <w:rsid w:val="00DB75C1"/>
    <w:rsid w:val="00DC6BAF"/>
    <w:rsid w:val="00DD7C86"/>
    <w:rsid w:val="00DE317E"/>
    <w:rsid w:val="00E00C9D"/>
    <w:rsid w:val="00E0188C"/>
    <w:rsid w:val="00E03884"/>
    <w:rsid w:val="00E117E8"/>
    <w:rsid w:val="00E312C4"/>
    <w:rsid w:val="00E52537"/>
    <w:rsid w:val="00E6082E"/>
    <w:rsid w:val="00E61495"/>
    <w:rsid w:val="00E67931"/>
    <w:rsid w:val="00E7796A"/>
    <w:rsid w:val="00E9318B"/>
    <w:rsid w:val="00E93E45"/>
    <w:rsid w:val="00EB2B6D"/>
    <w:rsid w:val="00EB72B8"/>
    <w:rsid w:val="00EC09F0"/>
    <w:rsid w:val="00EC4BB5"/>
    <w:rsid w:val="00ED2219"/>
    <w:rsid w:val="00ED3319"/>
    <w:rsid w:val="00EE0A83"/>
    <w:rsid w:val="00EF7F83"/>
    <w:rsid w:val="00F03119"/>
    <w:rsid w:val="00F05E53"/>
    <w:rsid w:val="00F205C4"/>
    <w:rsid w:val="00F25D8C"/>
    <w:rsid w:val="00F4696E"/>
    <w:rsid w:val="00F71C24"/>
    <w:rsid w:val="00F71F23"/>
    <w:rsid w:val="00F94E4F"/>
    <w:rsid w:val="00FA010D"/>
    <w:rsid w:val="00FB0500"/>
    <w:rsid w:val="00FB143D"/>
    <w:rsid w:val="00FB64C3"/>
    <w:rsid w:val="00FC0CD5"/>
    <w:rsid w:val="00FC21E9"/>
    <w:rsid w:val="00FC4292"/>
    <w:rsid w:val="00FC5C24"/>
    <w:rsid w:val="00FE006B"/>
    <w:rsid w:val="00FE0D0D"/>
    <w:rsid w:val="00FF3C4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CDB96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C8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4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4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FE0D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3483</Words>
  <Characters>24033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4</cp:revision>
  <dcterms:created xsi:type="dcterms:W3CDTF">2024-08-31T17:15:00Z</dcterms:created>
  <dcterms:modified xsi:type="dcterms:W3CDTF">2024-09-04T17:35:00Z</dcterms:modified>
</cp:coreProperties>
</file>